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D23F" w14:textId="77777777" w:rsidR="00213A17" w:rsidRDefault="00213A17" w:rsidP="00213A17">
      <w:pPr>
        <w:jc w:val="center"/>
        <w:rPr>
          <w:rFonts w:ascii="Verdana" w:hAnsi="Verdana"/>
          <w:sz w:val="20"/>
          <w:szCs w:val="20"/>
          <w:lang w:val="bg-BG"/>
        </w:rPr>
      </w:pPr>
    </w:p>
    <w:p w14:paraId="4E648058" w14:textId="77777777" w:rsidR="00213A17" w:rsidRDefault="00213A17" w:rsidP="00213A17">
      <w:pPr>
        <w:spacing w:line="360" w:lineRule="auto"/>
        <w:jc w:val="center"/>
        <w:rPr>
          <w:rFonts w:ascii="Verdana" w:hAnsi="Verdana"/>
          <w:b/>
          <w:sz w:val="20"/>
          <w:szCs w:val="20"/>
          <w:lang w:val="bg-BG"/>
        </w:rPr>
      </w:pPr>
      <w:r>
        <w:rPr>
          <w:rFonts w:ascii="Verdana" w:hAnsi="Verdana"/>
          <w:b/>
          <w:sz w:val="20"/>
          <w:szCs w:val="20"/>
          <w:lang w:val="bg-BG"/>
        </w:rPr>
        <w:t xml:space="preserve">Закон </w:t>
      </w:r>
    </w:p>
    <w:p w14:paraId="009C986C" w14:textId="77777777" w:rsidR="00213A17" w:rsidRDefault="00213A17" w:rsidP="00213A17">
      <w:pPr>
        <w:spacing w:line="360" w:lineRule="auto"/>
        <w:jc w:val="center"/>
        <w:rPr>
          <w:rFonts w:ascii="Verdana" w:hAnsi="Verdana"/>
          <w:b/>
          <w:sz w:val="20"/>
          <w:szCs w:val="20"/>
          <w:lang w:val="bg-BG"/>
        </w:rPr>
      </w:pPr>
      <w:r>
        <w:rPr>
          <w:rFonts w:ascii="Verdana" w:hAnsi="Verdana"/>
          <w:b/>
          <w:sz w:val="20"/>
          <w:szCs w:val="20"/>
          <w:lang w:val="bg-BG"/>
        </w:rPr>
        <w:t xml:space="preserve">за изменение и допълнение </w:t>
      </w:r>
    </w:p>
    <w:p w14:paraId="129022A8" w14:textId="77777777" w:rsidR="00213A17" w:rsidRDefault="00213A17" w:rsidP="00213A17">
      <w:pPr>
        <w:spacing w:line="360" w:lineRule="auto"/>
        <w:jc w:val="center"/>
        <w:rPr>
          <w:rFonts w:ascii="Verdana" w:hAnsi="Verdana"/>
          <w:b/>
          <w:sz w:val="20"/>
          <w:szCs w:val="20"/>
          <w:lang w:val="bg-BG"/>
        </w:rPr>
      </w:pPr>
      <w:r>
        <w:rPr>
          <w:rFonts w:ascii="Verdana" w:hAnsi="Verdana"/>
          <w:b/>
          <w:sz w:val="20"/>
          <w:szCs w:val="20"/>
          <w:lang w:val="bg-BG"/>
        </w:rPr>
        <w:t>на Конституцията на Република България</w:t>
      </w:r>
    </w:p>
    <w:p w14:paraId="3E8E3C15" w14:textId="77777777" w:rsidR="00213A17" w:rsidRDefault="00213A17" w:rsidP="00213A17">
      <w:pPr>
        <w:spacing w:line="360" w:lineRule="auto"/>
        <w:jc w:val="center"/>
        <w:rPr>
          <w:rFonts w:ascii="Verdana" w:hAnsi="Verdana"/>
          <w:sz w:val="20"/>
          <w:szCs w:val="20"/>
          <w:lang w:val="bg-BG"/>
        </w:rPr>
      </w:pPr>
    </w:p>
    <w:p w14:paraId="71A3C7AE" w14:textId="77777777" w:rsidR="00213A17" w:rsidRDefault="00213A17" w:rsidP="00213A17">
      <w:pPr>
        <w:spacing w:line="360" w:lineRule="auto"/>
        <w:jc w:val="center"/>
        <w:rPr>
          <w:rFonts w:ascii="Verdana" w:hAnsi="Verdana"/>
          <w:sz w:val="20"/>
          <w:szCs w:val="20"/>
          <w:lang w:val="bg-BG"/>
        </w:rPr>
      </w:pPr>
      <w:proofErr w:type="spellStart"/>
      <w:r>
        <w:rPr>
          <w:rFonts w:ascii="Verdana" w:hAnsi="Verdana"/>
          <w:sz w:val="20"/>
          <w:szCs w:val="20"/>
          <w:lang w:val="bg-BG"/>
        </w:rPr>
        <w:t>Обн</w:t>
      </w:r>
      <w:proofErr w:type="spellEnd"/>
      <w:r>
        <w:rPr>
          <w:rFonts w:ascii="Verdana" w:hAnsi="Verdana"/>
          <w:sz w:val="20"/>
          <w:szCs w:val="20"/>
          <w:lang w:val="bg-BG"/>
        </w:rPr>
        <w:t xml:space="preserve">. ДВ, бр. 56 от 13 юли 1991 г., изм. ДВ, бр. 85 от 26 септември </w:t>
      </w:r>
    </w:p>
    <w:p w14:paraId="333062D6" w14:textId="77777777" w:rsidR="00213A17" w:rsidRDefault="00213A17" w:rsidP="00213A17">
      <w:pPr>
        <w:spacing w:line="360" w:lineRule="auto"/>
        <w:jc w:val="center"/>
        <w:rPr>
          <w:rFonts w:ascii="Verdana" w:hAnsi="Verdana"/>
          <w:sz w:val="20"/>
          <w:szCs w:val="20"/>
          <w:lang w:val="bg-BG"/>
        </w:rPr>
      </w:pPr>
      <w:r>
        <w:rPr>
          <w:rFonts w:ascii="Verdana" w:hAnsi="Verdana"/>
          <w:sz w:val="20"/>
          <w:szCs w:val="20"/>
          <w:lang w:val="bg-BG"/>
        </w:rPr>
        <w:t>2003 г., изм. ДВ, бр. 18 от 25 февруари 2005г., изм. ДВ, бр. 27 от 31</w:t>
      </w:r>
    </w:p>
    <w:p w14:paraId="624C72B3" w14:textId="77777777" w:rsidR="00213A17" w:rsidRDefault="00213A17" w:rsidP="00213A17">
      <w:pPr>
        <w:spacing w:line="360" w:lineRule="auto"/>
        <w:jc w:val="center"/>
        <w:rPr>
          <w:rFonts w:ascii="Verdana" w:hAnsi="Verdana"/>
          <w:sz w:val="20"/>
          <w:szCs w:val="20"/>
          <w:lang w:val="bg-BG"/>
        </w:rPr>
      </w:pPr>
      <w:r>
        <w:rPr>
          <w:rFonts w:ascii="Verdana" w:hAnsi="Verdana"/>
          <w:sz w:val="20"/>
          <w:szCs w:val="20"/>
          <w:lang w:val="bg-BG"/>
        </w:rPr>
        <w:t>март 2006 г., изм. ДВ, бр. 78 от 26 септември 2006г., изм. ДВ, бр. 12</w:t>
      </w:r>
    </w:p>
    <w:p w14:paraId="29D91764" w14:textId="77777777" w:rsidR="00213A17" w:rsidRDefault="00213A17" w:rsidP="00213A17">
      <w:pPr>
        <w:spacing w:line="360" w:lineRule="auto"/>
        <w:jc w:val="center"/>
        <w:rPr>
          <w:rFonts w:ascii="Verdana" w:hAnsi="Verdana"/>
          <w:sz w:val="20"/>
          <w:szCs w:val="20"/>
          <w:lang w:val="bg-BG"/>
        </w:rPr>
      </w:pPr>
      <w:r>
        <w:rPr>
          <w:rFonts w:ascii="Verdana" w:hAnsi="Verdana"/>
          <w:sz w:val="20"/>
          <w:szCs w:val="20"/>
          <w:lang w:val="bg-BG"/>
        </w:rPr>
        <w:t>от 6 февруари 2007г., изм. и доп. ДВ, бр. 100 от 18 декември 2015 г.</w:t>
      </w:r>
    </w:p>
    <w:p w14:paraId="0863336B" w14:textId="77777777" w:rsidR="00213A17" w:rsidRDefault="00213A17" w:rsidP="00213A17">
      <w:pPr>
        <w:spacing w:line="360" w:lineRule="auto"/>
        <w:jc w:val="center"/>
        <w:rPr>
          <w:rFonts w:ascii="Verdana" w:hAnsi="Verdana"/>
          <w:sz w:val="20"/>
          <w:szCs w:val="20"/>
          <w:lang w:val="bg-BG"/>
        </w:rPr>
      </w:pPr>
    </w:p>
    <w:p w14:paraId="513E2A06" w14:textId="77777777" w:rsidR="00213A17" w:rsidRDefault="00213A17" w:rsidP="00213A17">
      <w:pPr>
        <w:spacing w:line="360" w:lineRule="auto"/>
        <w:jc w:val="both"/>
        <w:rPr>
          <w:rFonts w:ascii="Verdana" w:hAnsi="Verdana"/>
          <w:sz w:val="20"/>
          <w:szCs w:val="20"/>
          <w:lang w:val="bg-BG"/>
        </w:rPr>
      </w:pPr>
    </w:p>
    <w:p w14:paraId="58DF0863" w14:textId="5A5DEC9C" w:rsidR="00213A17" w:rsidRDefault="00213A17" w:rsidP="00213A17">
      <w:pPr>
        <w:spacing w:line="360" w:lineRule="auto"/>
        <w:jc w:val="both"/>
      </w:pPr>
      <w:r>
        <w:rPr>
          <w:rFonts w:ascii="Verdana" w:hAnsi="Verdana"/>
          <w:b/>
          <w:sz w:val="20"/>
          <w:szCs w:val="20"/>
          <w:lang w:val="ru-RU"/>
        </w:rPr>
        <w:t>§.</w:t>
      </w:r>
      <w:r>
        <w:rPr>
          <w:rFonts w:ascii="Verdana" w:hAnsi="Verdana"/>
          <w:b/>
          <w:sz w:val="20"/>
          <w:szCs w:val="20"/>
          <w:lang w:val="en-US"/>
        </w:rPr>
        <w:t>1</w:t>
      </w:r>
      <w:r>
        <w:rPr>
          <w:rFonts w:ascii="Verdana" w:hAnsi="Verdana"/>
          <w:b/>
          <w:sz w:val="20"/>
          <w:szCs w:val="20"/>
          <w:lang w:val="ru-RU"/>
        </w:rPr>
        <w:t xml:space="preserve"> .</w:t>
      </w:r>
      <w:r>
        <w:rPr>
          <w:rFonts w:ascii="Verdana" w:hAnsi="Verdana"/>
          <w:sz w:val="20"/>
          <w:szCs w:val="20"/>
          <w:lang w:val="ru-RU"/>
        </w:rPr>
        <w:t xml:space="preserve"> </w:t>
      </w:r>
      <w:r>
        <w:rPr>
          <w:rFonts w:ascii="Verdana" w:hAnsi="Verdana"/>
          <w:sz w:val="20"/>
          <w:szCs w:val="20"/>
          <w:lang w:val="bg-BG"/>
        </w:rPr>
        <w:t xml:space="preserve">В чл. 84, т. 16 думите „Висшия съдебен съвет“ се заменят със „Съвета на съдиите и Съвета на прокурорите“. </w:t>
      </w:r>
    </w:p>
    <w:p w14:paraId="7F51A07E" w14:textId="77777777" w:rsidR="00213A17" w:rsidRDefault="00213A17" w:rsidP="00213A17">
      <w:pPr>
        <w:pStyle w:val="a3"/>
        <w:spacing w:line="360" w:lineRule="auto"/>
        <w:jc w:val="both"/>
        <w:rPr>
          <w:rFonts w:ascii="Verdana" w:hAnsi="Verdana"/>
          <w:sz w:val="20"/>
          <w:szCs w:val="20"/>
          <w:lang w:val="bg-BG"/>
        </w:rPr>
      </w:pPr>
    </w:p>
    <w:p w14:paraId="7986FC81" w14:textId="3A71E823" w:rsidR="00213A17" w:rsidRDefault="00213A17" w:rsidP="00213A17">
      <w:pPr>
        <w:spacing w:line="360" w:lineRule="auto"/>
        <w:jc w:val="both"/>
      </w:pPr>
      <w:r>
        <w:rPr>
          <w:rFonts w:ascii="Verdana" w:hAnsi="Verdana"/>
          <w:b/>
          <w:sz w:val="20"/>
          <w:szCs w:val="20"/>
          <w:lang w:val="ru-RU"/>
        </w:rPr>
        <w:t>§.</w:t>
      </w:r>
      <w:r>
        <w:rPr>
          <w:rFonts w:ascii="Verdana" w:hAnsi="Verdana"/>
          <w:b/>
          <w:sz w:val="20"/>
          <w:szCs w:val="20"/>
          <w:lang w:val="en-US"/>
        </w:rPr>
        <w:t>2</w:t>
      </w:r>
      <w:r>
        <w:rPr>
          <w:rFonts w:ascii="Verdana" w:hAnsi="Verdana"/>
          <w:b/>
          <w:sz w:val="20"/>
          <w:szCs w:val="20"/>
          <w:lang w:val="ru-RU"/>
        </w:rPr>
        <w:t>.</w:t>
      </w:r>
      <w:r>
        <w:rPr>
          <w:rFonts w:ascii="Verdana" w:hAnsi="Verdana"/>
          <w:sz w:val="20"/>
          <w:szCs w:val="20"/>
          <w:lang w:val="ru-RU"/>
        </w:rPr>
        <w:t xml:space="preserve"> </w:t>
      </w:r>
      <w:r>
        <w:rPr>
          <w:rFonts w:ascii="Verdana" w:hAnsi="Verdana"/>
          <w:sz w:val="20"/>
          <w:szCs w:val="20"/>
          <w:lang w:val="bg-BG"/>
        </w:rPr>
        <w:t xml:space="preserve">В чл. 126 се правят следните изменения и допълнения : </w:t>
      </w:r>
    </w:p>
    <w:p w14:paraId="4A91CF15" w14:textId="77777777" w:rsidR="00213A17" w:rsidRDefault="00213A17" w:rsidP="00213A17">
      <w:pPr>
        <w:pStyle w:val="a3"/>
        <w:spacing w:line="360" w:lineRule="auto"/>
        <w:rPr>
          <w:rFonts w:ascii="Verdana" w:hAnsi="Verdana"/>
          <w:sz w:val="20"/>
          <w:szCs w:val="20"/>
          <w:lang w:val="bg-BG"/>
        </w:rPr>
      </w:pPr>
    </w:p>
    <w:p w14:paraId="56C239F6" w14:textId="77777777" w:rsidR="00213A17" w:rsidRDefault="00213A17" w:rsidP="00213A17">
      <w:pPr>
        <w:pStyle w:val="a3"/>
        <w:numPr>
          <w:ilvl w:val="0"/>
          <w:numId w:val="1"/>
        </w:numPr>
        <w:spacing w:line="360" w:lineRule="auto"/>
        <w:jc w:val="both"/>
        <w:rPr>
          <w:rFonts w:ascii="Verdana" w:hAnsi="Verdana"/>
          <w:sz w:val="20"/>
          <w:szCs w:val="20"/>
          <w:lang w:val="bg-BG"/>
        </w:rPr>
      </w:pPr>
      <w:r>
        <w:rPr>
          <w:rFonts w:ascii="Verdana" w:hAnsi="Verdana"/>
          <w:sz w:val="20"/>
          <w:szCs w:val="20"/>
          <w:lang w:val="bg-BG"/>
        </w:rPr>
        <w:t xml:space="preserve">    Ал. 2 придобива следното съдържание : </w:t>
      </w:r>
    </w:p>
    <w:p w14:paraId="74366A55" w14:textId="77777777" w:rsidR="00213A17" w:rsidRDefault="00213A17" w:rsidP="00213A17">
      <w:pPr>
        <w:pStyle w:val="a3"/>
        <w:spacing w:line="360" w:lineRule="auto"/>
        <w:jc w:val="both"/>
        <w:rPr>
          <w:rFonts w:ascii="Verdana" w:hAnsi="Verdana"/>
          <w:sz w:val="20"/>
          <w:szCs w:val="20"/>
          <w:lang w:val="bg-BG"/>
        </w:rPr>
      </w:pPr>
    </w:p>
    <w:p w14:paraId="669A2228" w14:textId="77777777" w:rsidR="00213A17" w:rsidRDefault="00213A17" w:rsidP="00213A17">
      <w:pPr>
        <w:pStyle w:val="a3"/>
        <w:spacing w:line="360" w:lineRule="auto"/>
        <w:jc w:val="both"/>
      </w:pPr>
      <w:r>
        <w:rPr>
          <w:rFonts w:ascii="Verdana" w:hAnsi="Verdana"/>
          <w:sz w:val="20"/>
          <w:szCs w:val="20"/>
          <w:lang w:val="bg-BG"/>
        </w:rPr>
        <w:t>„(2) Главният прокурор осъществява</w:t>
      </w:r>
      <w:r>
        <w:rPr>
          <w:rFonts w:ascii="Verdana" w:hAnsi="Verdana"/>
          <w:color w:val="FF0000"/>
          <w:sz w:val="20"/>
          <w:szCs w:val="20"/>
          <w:lang w:val="bg-BG"/>
        </w:rPr>
        <w:t xml:space="preserve"> </w:t>
      </w:r>
      <w:r>
        <w:rPr>
          <w:rFonts w:ascii="Verdana" w:hAnsi="Verdana"/>
          <w:sz w:val="20"/>
          <w:szCs w:val="20"/>
          <w:lang w:val="bg-BG"/>
        </w:rPr>
        <w:t>методическо</w:t>
      </w:r>
      <w:r>
        <w:rPr>
          <w:rFonts w:ascii="Verdana" w:hAnsi="Verdana"/>
          <w:strike/>
          <w:sz w:val="20"/>
          <w:szCs w:val="20"/>
          <w:lang w:val="bg-BG"/>
        </w:rPr>
        <w:t>то</w:t>
      </w:r>
      <w:r>
        <w:rPr>
          <w:rFonts w:ascii="Verdana" w:hAnsi="Verdana"/>
          <w:sz w:val="20"/>
          <w:szCs w:val="20"/>
          <w:lang w:val="bg-BG"/>
        </w:rPr>
        <w:t xml:space="preserve"> ръководство върху дейността на всички прокурори.“</w:t>
      </w:r>
    </w:p>
    <w:p w14:paraId="421D4C4C" w14:textId="77777777" w:rsidR="00213A17" w:rsidRDefault="00213A17" w:rsidP="00213A17">
      <w:pPr>
        <w:pStyle w:val="a3"/>
        <w:spacing w:line="360" w:lineRule="auto"/>
        <w:ind w:hanging="294"/>
        <w:jc w:val="both"/>
        <w:rPr>
          <w:rFonts w:ascii="Verdana" w:hAnsi="Verdana"/>
          <w:sz w:val="20"/>
          <w:szCs w:val="20"/>
          <w:lang w:val="en-US"/>
        </w:rPr>
      </w:pPr>
    </w:p>
    <w:p w14:paraId="7904CB6F" w14:textId="77777777" w:rsidR="00213A17" w:rsidRDefault="00213A17" w:rsidP="00213A17">
      <w:pPr>
        <w:pStyle w:val="a3"/>
        <w:numPr>
          <w:ilvl w:val="0"/>
          <w:numId w:val="1"/>
        </w:numPr>
        <w:spacing w:line="360" w:lineRule="auto"/>
        <w:jc w:val="both"/>
      </w:pPr>
      <w:r>
        <w:rPr>
          <w:rFonts w:ascii="Verdana" w:hAnsi="Verdana"/>
          <w:sz w:val="20"/>
          <w:szCs w:val="20"/>
          <w:lang w:val="bg-BG"/>
        </w:rPr>
        <w:t xml:space="preserve"> Създава се нова ал. 3 със следното съдържание:</w:t>
      </w:r>
    </w:p>
    <w:p w14:paraId="47FD5AA2" w14:textId="77777777" w:rsidR="00213A17" w:rsidRDefault="00213A17" w:rsidP="00213A17">
      <w:pPr>
        <w:pStyle w:val="a3"/>
        <w:spacing w:line="360" w:lineRule="auto"/>
        <w:jc w:val="both"/>
        <w:rPr>
          <w:rFonts w:ascii="Verdana" w:hAnsi="Verdana"/>
          <w:sz w:val="20"/>
          <w:szCs w:val="20"/>
          <w:lang w:val="bg-BG"/>
        </w:rPr>
      </w:pPr>
      <w:r>
        <w:rPr>
          <w:rFonts w:ascii="Verdana" w:hAnsi="Verdana"/>
          <w:sz w:val="20"/>
          <w:szCs w:val="20"/>
          <w:lang w:val="bg-BG"/>
        </w:rPr>
        <w:tab/>
      </w:r>
    </w:p>
    <w:p w14:paraId="5D8AD5B0" w14:textId="77777777" w:rsidR="00213A17" w:rsidRDefault="00213A17" w:rsidP="00213A17">
      <w:pPr>
        <w:pStyle w:val="a3"/>
        <w:spacing w:line="360" w:lineRule="auto"/>
        <w:jc w:val="both"/>
      </w:pPr>
      <w:r>
        <w:rPr>
          <w:rFonts w:ascii="Verdana" w:hAnsi="Verdana"/>
          <w:color w:val="FF0000"/>
          <w:sz w:val="20"/>
          <w:szCs w:val="20"/>
          <w:lang w:val="bg-BG"/>
        </w:rPr>
        <w:tab/>
      </w:r>
      <w:r>
        <w:rPr>
          <w:rFonts w:ascii="Verdana" w:hAnsi="Verdana"/>
          <w:sz w:val="20"/>
          <w:szCs w:val="20"/>
          <w:lang w:val="bg-BG"/>
        </w:rPr>
        <w:t>„(</w:t>
      </w:r>
      <w:r>
        <w:rPr>
          <w:rFonts w:ascii="Verdana" w:hAnsi="Verdana"/>
          <w:sz w:val="20"/>
          <w:szCs w:val="20"/>
          <w:lang w:val="en-US"/>
        </w:rPr>
        <w:t>3</w:t>
      </w:r>
      <w:r>
        <w:rPr>
          <w:rFonts w:ascii="Verdana" w:hAnsi="Verdana"/>
          <w:sz w:val="20"/>
          <w:szCs w:val="20"/>
          <w:lang w:val="bg-BG"/>
        </w:rPr>
        <w:t>) Главният прокурор се подпомага от заместници при Върховната касационна прокуратура, от заместник при Върховната административна прокуратура и от заместника на главния прокурор по разследването, който е и директор на Националната следствена служба.“</w:t>
      </w:r>
    </w:p>
    <w:p w14:paraId="32349CCD" w14:textId="77777777" w:rsidR="00213A17" w:rsidRDefault="00213A17" w:rsidP="00213A17">
      <w:pPr>
        <w:spacing w:line="360" w:lineRule="auto"/>
        <w:jc w:val="both"/>
        <w:rPr>
          <w:rFonts w:ascii="Verdana" w:hAnsi="Verdana"/>
          <w:sz w:val="20"/>
          <w:szCs w:val="20"/>
          <w:lang w:val="bg-BG"/>
        </w:rPr>
      </w:pPr>
    </w:p>
    <w:p w14:paraId="2770327A" w14:textId="77777777" w:rsidR="00213A17" w:rsidRDefault="00213A17" w:rsidP="00213A17">
      <w:pPr>
        <w:spacing w:line="360" w:lineRule="auto"/>
        <w:jc w:val="both"/>
        <w:rPr>
          <w:rFonts w:ascii="Verdana" w:hAnsi="Verdana"/>
          <w:b/>
          <w:sz w:val="20"/>
          <w:szCs w:val="20"/>
          <w:lang w:val="ru-RU"/>
        </w:rPr>
      </w:pPr>
    </w:p>
    <w:p w14:paraId="164D292C" w14:textId="32FF04A4" w:rsidR="00213A17" w:rsidRDefault="00213A17" w:rsidP="00213A17">
      <w:pPr>
        <w:spacing w:line="360" w:lineRule="auto"/>
        <w:jc w:val="both"/>
      </w:pPr>
      <w:r>
        <w:rPr>
          <w:rFonts w:ascii="Verdana" w:hAnsi="Verdana"/>
          <w:b/>
          <w:sz w:val="20"/>
          <w:szCs w:val="20"/>
          <w:lang w:val="ru-RU"/>
        </w:rPr>
        <w:t>§</w:t>
      </w:r>
      <w:r>
        <w:rPr>
          <w:rFonts w:ascii="Verdana" w:hAnsi="Verdana"/>
          <w:b/>
          <w:sz w:val="20"/>
          <w:szCs w:val="20"/>
          <w:lang w:val="en-US"/>
        </w:rPr>
        <w:t>3</w:t>
      </w:r>
      <w:r>
        <w:rPr>
          <w:rFonts w:ascii="Verdana" w:hAnsi="Verdana"/>
          <w:b/>
          <w:sz w:val="20"/>
          <w:szCs w:val="20"/>
          <w:lang w:val="ru-RU"/>
        </w:rPr>
        <w:t xml:space="preserve">. </w:t>
      </w:r>
      <w:r>
        <w:rPr>
          <w:rFonts w:ascii="Verdana" w:hAnsi="Verdana"/>
          <w:sz w:val="20"/>
          <w:szCs w:val="20"/>
          <w:lang w:val="ru-RU"/>
        </w:rPr>
        <w:t>В чл.128 се правят следните изменения и допълнения:</w:t>
      </w:r>
    </w:p>
    <w:p w14:paraId="29312EF7" w14:textId="77777777" w:rsidR="00213A17" w:rsidRDefault="00213A17" w:rsidP="00213A17">
      <w:pPr>
        <w:spacing w:line="360" w:lineRule="auto"/>
        <w:jc w:val="both"/>
        <w:rPr>
          <w:rFonts w:ascii="Verdana" w:hAnsi="Verdana"/>
          <w:sz w:val="20"/>
          <w:szCs w:val="20"/>
          <w:lang w:val="ru-RU"/>
        </w:rPr>
      </w:pPr>
    </w:p>
    <w:p w14:paraId="5EE37320" w14:textId="77777777" w:rsidR="00213A17" w:rsidRDefault="00213A17" w:rsidP="00213A17">
      <w:pPr>
        <w:pStyle w:val="a3"/>
        <w:numPr>
          <w:ilvl w:val="0"/>
          <w:numId w:val="2"/>
        </w:numPr>
        <w:spacing w:line="360" w:lineRule="auto"/>
        <w:jc w:val="both"/>
        <w:rPr>
          <w:rFonts w:ascii="Verdana" w:hAnsi="Verdana"/>
          <w:sz w:val="20"/>
          <w:szCs w:val="20"/>
          <w:lang w:val="bg-BG"/>
        </w:rPr>
      </w:pPr>
      <w:r>
        <w:rPr>
          <w:rFonts w:ascii="Verdana" w:hAnsi="Verdana"/>
          <w:sz w:val="20"/>
          <w:szCs w:val="20"/>
          <w:lang w:val="bg-BG"/>
        </w:rPr>
        <w:t>Досегашният текст става ал.1 и в него думите „ системата на съдебната власт“ се заменят със „структурата на прокуратурата“.</w:t>
      </w:r>
    </w:p>
    <w:p w14:paraId="56C471B5" w14:textId="77777777" w:rsidR="00213A17" w:rsidRDefault="00213A17" w:rsidP="00213A17">
      <w:pPr>
        <w:spacing w:line="360" w:lineRule="auto"/>
        <w:jc w:val="both"/>
        <w:rPr>
          <w:rFonts w:ascii="Verdana" w:hAnsi="Verdana"/>
          <w:sz w:val="20"/>
          <w:szCs w:val="20"/>
          <w:lang w:val="bg-BG"/>
        </w:rPr>
      </w:pPr>
    </w:p>
    <w:p w14:paraId="494B19D9" w14:textId="77777777" w:rsidR="00213A17" w:rsidRDefault="00213A17" w:rsidP="00213A17">
      <w:pPr>
        <w:pStyle w:val="a3"/>
        <w:numPr>
          <w:ilvl w:val="0"/>
          <w:numId w:val="3"/>
        </w:numPr>
        <w:spacing w:line="360" w:lineRule="auto"/>
        <w:jc w:val="both"/>
        <w:rPr>
          <w:rFonts w:ascii="Verdana" w:hAnsi="Verdana"/>
          <w:sz w:val="20"/>
          <w:szCs w:val="20"/>
          <w:lang w:val="bg-BG"/>
        </w:rPr>
      </w:pPr>
      <w:r>
        <w:rPr>
          <w:rFonts w:ascii="Verdana" w:hAnsi="Verdana"/>
          <w:sz w:val="20"/>
          <w:szCs w:val="20"/>
          <w:lang w:val="bg-BG"/>
        </w:rPr>
        <w:t>Създава се нова ал.2:</w:t>
      </w:r>
    </w:p>
    <w:p w14:paraId="612B85A7" w14:textId="77777777" w:rsidR="00213A17" w:rsidRDefault="00213A17" w:rsidP="00213A17">
      <w:pPr>
        <w:pStyle w:val="a3"/>
        <w:rPr>
          <w:rFonts w:ascii="Verdana" w:hAnsi="Verdana"/>
          <w:sz w:val="20"/>
          <w:szCs w:val="20"/>
          <w:lang w:val="bg-BG"/>
        </w:rPr>
      </w:pPr>
    </w:p>
    <w:p w14:paraId="5DB3401E" w14:textId="77777777" w:rsidR="00213A17" w:rsidRDefault="00213A17" w:rsidP="00213A17">
      <w:pPr>
        <w:pStyle w:val="a3"/>
        <w:spacing w:line="360" w:lineRule="auto"/>
        <w:ind w:left="1080"/>
        <w:jc w:val="both"/>
        <w:rPr>
          <w:rFonts w:ascii="Verdana" w:hAnsi="Verdana"/>
          <w:sz w:val="20"/>
          <w:szCs w:val="20"/>
          <w:lang w:val="bg-BG"/>
        </w:rPr>
      </w:pPr>
      <w:r>
        <w:rPr>
          <w:rFonts w:ascii="Verdana" w:hAnsi="Verdana"/>
          <w:sz w:val="20"/>
          <w:szCs w:val="20"/>
          <w:lang w:val="bg-BG"/>
        </w:rPr>
        <w:lastRenderedPageBreak/>
        <w:t>„ (2) Следствени органи са Националната следствена служба и окръжните следствени отдели в окръжните прокуратури.“</w:t>
      </w:r>
    </w:p>
    <w:p w14:paraId="40AFA0AE" w14:textId="77777777" w:rsidR="00213A17" w:rsidRDefault="00213A17" w:rsidP="00213A17">
      <w:pPr>
        <w:pStyle w:val="a3"/>
        <w:spacing w:line="360" w:lineRule="auto"/>
        <w:ind w:left="1080"/>
        <w:jc w:val="both"/>
        <w:rPr>
          <w:rFonts w:ascii="Verdana" w:hAnsi="Verdana"/>
          <w:sz w:val="20"/>
          <w:szCs w:val="20"/>
          <w:lang w:val="bg-BG"/>
        </w:rPr>
      </w:pPr>
    </w:p>
    <w:p w14:paraId="2CB40EA0" w14:textId="4EDB7C88" w:rsidR="00213A17" w:rsidRDefault="00213A17" w:rsidP="00213A17">
      <w:pPr>
        <w:spacing w:line="360" w:lineRule="auto"/>
        <w:jc w:val="both"/>
      </w:pPr>
      <w:r>
        <w:rPr>
          <w:rFonts w:ascii="Verdana" w:hAnsi="Verdana"/>
          <w:b/>
          <w:sz w:val="20"/>
          <w:szCs w:val="20"/>
          <w:lang w:val="ru-RU"/>
        </w:rPr>
        <w:t>§</w:t>
      </w:r>
      <w:r>
        <w:rPr>
          <w:rFonts w:ascii="Verdana" w:hAnsi="Verdana"/>
          <w:b/>
          <w:sz w:val="20"/>
          <w:szCs w:val="20"/>
          <w:lang w:val="en-US"/>
        </w:rPr>
        <w:t>4</w:t>
      </w:r>
      <w:r>
        <w:rPr>
          <w:rFonts w:ascii="Verdana" w:hAnsi="Verdana"/>
          <w:b/>
          <w:sz w:val="20"/>
          <w:szCs w:val="20"/>
          <w:lang w:val="ru-RU"/>
        </w:rPr>
        <w:t>.</w:t>
      </w:r>
      <w:r>
        <w:rPr>
          <w:rFonts w:ascii="Verdana" w:hAnsi="Verdana"/>
          <w:sz w:val="20"/>
          <w:szCs w:val="20"/>
          <w:lang w:val="ru-RU"/>
        </w:rPr>
        <w:t xml:space="preserve"> </w:t>
      </w:r>
      <w:r>
        <w:rPr>
          <w:rFonts w:ascii="Verdana" w:hAnsi="Verdana"/>
          <w:sz w:val="20"/>
          <w:szCs w:val="20"/>
          <w:lang w:val="bg-BG"/>
        </w:rPr>
        <w:t xml:space="preserve">В чл. 129 се правят следните изменения : </w:t>
      </w:r>
    </w:p>
    <w:p w14:paraId="12A1DAAF" w14:textId="77777777" w:rsidR="00213A17" w:rsidRDefault="00213A17" w:rsidP="00213A17">
      <w:pPr>
        <w:spacing w:line="360" w:lineRule="auto"/>
        <w:jc w:val="both"/>
        <w:rPr>
          <w:rFonts w:ascii="Verdana" w:hAnsi="Verdana"/>
          <w:sz w:val="20"/>
          <w:szCs w:val="20"/>
          <w:lang w:val="bg-BG"/>
        </w:rPr>
      </w:pPr>
    </w:p>
    <w:p w14:paraId="664F14C8" w14:textId="77777777" w:rsidR="00213A17" w:rsidRDefault="00213A17" w:rsidP="00213A17">
      <w:pPr>
        <w:pStyle w:val="a3"/>
        <w:numPr>
          <w:ilvl w:val="0"/>
          <w:numId w:val="4"/>
        </w:numPr>
        <w:spacing w:line="360" w:lineRule="auto"/>
        <w:jc w:val="both"/>
        <w:rPr>
          <w:rFonts w:ascii="Verdana" w:hAnsi="Verdana"/>
          <w:sz w:val="20"/>
          <w:szCs w:val="20"/>
          <w:lang w:val="bg-BG"/>
        </w:rPr>
      </w:pPr>
      <w:r>
        <w:rPr>
          <w:rFonts w:ascii="Verdana" w:hAnsi="Verdana"/>
          <w:sz w:val="20"/>
          <w:szCs w:val="20"/>
          <w:lang w:val="bg-BG"/>
        </w:rPr>
        <w:t xml:space="preserve">Ал. 1 придобива следното съдържание : </w:t>
      </w:r>
    </w:p>
    <w:p w14:paraId="02DD391E" w14:textId="77777777" w:rsidR="00213A17" w:rsidRDefault="00213A17" w:rsidP="00213A17">
      <w:pPr>
        <w:pStyle w:val="a3"/>
        <w:spacing w:line="360" w:lineRule="auto"/>
        <w:jc w:val="both"/>
        <w:rPr>
          <w:rFonts w:ascii="Verdana" w:hAnsi="Verdana"/>
          <w:sz w:val="20"/>
          <w:szCs w:val="20"/>
          <w:lang w:val="bg-BG"/>
        </w:rPr>
      </w:pPr>
    </w:p>
    <w:p w14:paraId="7BE4DC0F" w14:textId="77777777" w:rsidR="00213A17" w:rsidRDefault="00213A17" w:rsidP="00213A17">
      <w:pPr>
        <w:pStyle w:val="a3"/>
        <w:spacing w:line="360" w:lineRule="auto"/>
        <w:ind w:left="1440"/>
        <w:jc w:val="both"/>
        <w:rPr>
          <w:rFonts w:ascii="Verdana" w:hAnsi="Verdana"/>
          <w:sz w:val="20"/>
          <w:szCs w:val="20"/>
          <w:lang w:val="bg-BG"/>
        </w:rPr>
      </w:pPr>
      <w:r>
        <w:rPr>
          <w:rFonts w:ascii="Verdana" w:hAnsi="Verdana"/>
          <w:sz w:val="20"/>
          <w:szCs w:val="20"/>
          <w:lang w:val="bg-BG"/>
        </w:rPr>
        <w:t xml:space="preserve">„(1) Съдиите, прокурорите и следователите са магистрати. Те се назначават, повишават, понижават, преместват и освобождават от длъжност от Съвета на съдиите и Съвета на прокурорите.“ </w:t>
      </w:r>
    </w:p>
    <w:p w14:paraId="15DB1315" w14:textId="77777777" w:rsidR="00213A17" w:rsidRDefault="00213A17" w:rsidP="00213A17">
      <w:pPr>
        <w:pStyle w:val="a3"/>
        <w:spacing w:line="360" w:lineRule="auto"/>
        <w:ind w:left="1440"/>
        <w:jc w:val="both"/>
        <w:rPr>
          <w:rFonts w:ascii="Verdana" w:hAnsi="Verdana"/>
          <w:sz w:val="20"/>
          <w:szCs w:val="20"/>
          <w:lang w:val="bg-BG"/>
        </w:rPr>
      </w:pPr>
    </w:p>
    <w:p w14:paraId="1077B8C4" w14:textId="77777777" w:rsidR="00213A17" w:rsidRDefault="00213A17" w:rsidP="00213A17">
      <w:pPr>
        <w:pStyle w:val="a3"/>
        <w:numPr>
          <w:ilvl w:val="0"/>
          <w:numId w:val="5"/>
        </w:numPr>
        <w:spacing w:line="360" w:lineRule="auto"/>
        <w:jc w:val="both"/>
        <w:rPr>
          <w:rFonts w:ascii="Verdana" w:hAnsi="Verdana"/>
          <w:sz w:val="20"/>
          <w:szCs w:val="20"/>
          <w:lang w:val="bg-BG"/>
        </w:rPr>
      </w:pPr>
      <w:r>
        <w:rPr>
          <w:rFonts w:ascii="Verdana" w:hAnsi="Verdana"/>
          <w:sz w:val="20"/>
          <w:szCs w:val="20"/>
          <w:lang w:val="bg-BG"/>
        </w:rPr>
        <w:t>В ал. 2 думите „пленума на Висшия съдебен съвет“ се заменят със „Съвета на съдиите и съответно от Съвета на прокурорите“.</w:t>
      </w:r>
    </w:p>
    <w:p w14:paraId="5BF7EA27" w14:textId="77777777" w:rsidR="00213A17" w:rsidRDefault="00213A17" w:rsidP="00213A17">
      <w:pPr>
        <w:spacing w:line="360" w:lineRule="auto"/>
        <w:jc w:val="both"/>
        <w:rPr>
          <w:rFonts w:ascii="Verdana" w:hAnsi="Verdana"/>
          <w:sz w:val="20"/>
          <w:szCs w:val="20"/>
          <w:lang w:val="bg-BG"/>
        </w:rPr>
      </w:pPr>
    </w:p>
    <w:p w14:paraId="50DEC7CA" w14:textId="77777777" w:rsidR="00213A17" w:rsidRDefault="00213A17" w:rsidP="00213A17">
      <w:pPr>
        <w:pStyle w:val="a3"/>
        <w:numPr>
          <w:ilvl w:val="0"/>
          <w:numId w:val="5"/>
        </w:numPr>
        <w:spacing w:line="360" w:lineRule="auto"/>
        <w:jc w:val="both"/>
        <w:rPr>
          <w:rFonts w:ascii="Verdana" w:hAnsi="Verdana"/>
          <w:sz w:val="20"/>
          <w:szCs w:val="20"/>
          <w:lang w:val="bg-BG"/>
        </w:rPr>
      </w:pPr>
      <w:r>
        <w:rPr>
          <w:rFonts w:ascii="Verdana" w:hAnsi="Verdana"/>
          <w:sz w:val="20"/>
          <w:szCs w:val="20"/>
          <w:lang w:val="bg-BG"/>
        </w:rPr>
        <w:t>В ал.3 думите „съдийската, съответно прокурорската колегия на Висшия съдебен съвет“ се заменят със „Съвета на съдиите, съответно Съвета на прокурорите“.</w:t>
      </w:r>
    </w:p>
    <w:p w14:paraId="0DA36043" w14:textId="77777777" w:rsidR="00213A17" w:rsidRDefault="00213A17" w:rsidP="00213A17">
      <w:pPr>
        <w:spacing w:line="360" w:lineRule="auto"/>
        <w:jc w:val="both"/>
        <w:rPr>
          <w:rFonts w:ascii="Verdana" w:hAnsi="Verdana"/>
          <w:sz w:val="20"/>
          <w:szCs w:val="20"/>
          <w:lang w:val="bg-BG"/>
        </w:rPr>
      </w:pPr>
    </w:p>
    <w:p w14:paraId="4FB08F94" w14:textId="5C21A0B3" w:rsidR="00213A17" w:rsidRDefault="00213A17" w:rsidP="00213A17">
      <w:pPr>
        <w:spacing w:line="360" w:lineRule="auto"/>
        <w:jc w:val="both"/>
      </w:pPr>
      <w:r>
        <w:rPr>
          <w:rFonts w:ascii="Verdana" w:hAnsi="Verdana"/>
          <w:b/>
          <w:sz w:val="20"/>
          <w:szCs w:val="20"/>
          <w:lang w:val="bg-BG"/>
        </w:rPr>
        <w:t>§</w:t>
      </w:r>
      <w:r>
        <w:rPr>
          <w:rFonts w:ascii="Verdana" w:hAnsi="Verdana"/>
          <w:b/>
          <w:sz w:val="20"/>
          <w:szCs w:val="20"/>
          <w:lang w:val="en-US"/>
        </w:rPr>
        <w:t>5</w:t>
      </w:r>
      <w:r>
        <w:rPr>
          <w:rFonts w:ascii="Verdana" w:hAnsi="Verdana"/>
          <w:b/>
          <w:sz w:val="20"/>
          <w:szCs w:val="20"/>
          <w:lang w:val="bg-BG"/>
        </w:rPr>
        <w:t>.</w:t>
      </w:r>
      <w:r>
        <w:rPr>
          <w:rFonts w:ascii="Verdana" w:hAnsi="Verdana"/>
          <w:sz w:val="20"/>
          <w:szCs w:val="20"/>
          <w:lang w:val="bg-BG"/>
        </w:rPr>
        <w:t xml:space="preserve"> Чл. 130 придобива следното съдържание :</w:t>
      </w:r>
    </w:p>
    <w:p w14:paraId="4381052B" w14:textId="77777777" w:rsidR="00213A17" w:rsidRDefault="00213A17" w:rsidP="00213A17">
      <w:pPr>
        <w:spacing w:line="360" w:lineRule="auto"/>
        <w:jc w:val="both"/>
        <w:rPr>
          <w:rFonts w:ascii="Verdana" w:hAnsi="Verdana"/>
          <w:sz w:val="20"/>
          <w:szCs w:val="20"/>
          <w:lang w:val="bg-BG"/>
        </w:rPr>
      </w:pPr>
    </w:p>
    <w:p w14:paraId="47B02BBF" w14:textId="77777777" w:rsidR="00213A17" w:rsidRDefault="00213A17" w:rsidP="00213A17">
      <w:pPr>
        <w:spacing w:line="360" w:lineRule="auto"/>
        <w:jc w:val="both"/>
        <w:rPr>
          <w:rFonts w:ascii="Verdana" w:hAnsi="Verdana"/>
          <w:sz w:val="20"/>
          <w:szCs w:val="20"/>
          <w:lang w:val="bg-BG"/>
        </w:rPr>
      </w:pPr>
      <w:r>
        <w:rPr>
          <w:rFonts w:ascii="Verdana" w:hAnsi="Verdana"/>
          <w:sz w:val="20"/>
          <w:szCs w:val="20"/>
          <w:lang w:val="bg-BG"/>
        </w:rPr>
        <w:tab/>
        <w:t xml:space="preserve">„(1) Съветът на съдиите се състои от 13 членове, седем от които се избират пряко от съдиите въз основа на териториално представителство, и шестима членове, избрани от Народното събрание. </w:t>
      </w:r>
    </w:p>
    <w:p w14:paraId="4C8B1228" w14:textId="77777777" w:rsidR="00213A17" w:rsidRDefault="00213A17" w:rsidP="00213A17">
      <w:pPr>
        <w:spacing w:line="360" w:lineRule="auto"/>
        <w:jc w:val="both"/>
        <w:rPr>
          <w:rFonts w:ascii="Verdana" w:hAnsi="Verdana"/>
          <w:sz w:val="20"/>
          <w:szCs w:val="20"/>
          <w:lang w:val="bg-BG"/>
        </w:rPr>
      </w:pPr>
    </w:p>
    <w:p w14:paraId="0E446539" w14:textId="77777777" w:rsidR="00213A17" w:rsidRDefault="00213A17" w:rsidP="00213A17">
      <w:pPr>
        <w:spacing w:line="360" w:lineRule="auto"/>
        <w:jc w:val="both"/>
        <w:rPr>
          <w:rFonts w:ascii="Verdana" w:hAnsi="Verdana"/>
          <w:sz w:val="20"/>
          <w:szCs w:val="20"/>
          <w:lang w:val="bg-BG"/>
        </w:rPr>
      </w:pPr>
      <w:r>
        <w:rPr>
          <w:rFonts w:ascii="Verdana" w:hAnsi="Verdana"/>
          <w:sz w:val="20"/>
          <w:szCs w:val="20"/>
          <w:lang w:val="bg-BG"/>
        </w:rPr>
        <w:tab/>
        <w:t>(2) Съветът на прокурорите се състои от 13 членове, шест от които се избират пряко от прокурорите въз основа на териториално представителство, един член, избран пряко от следователите, и шест членове, избрани от Народното събрание.</w:t>
      </w:r>
    </w:p>
    <w:p w14:paraId="70EBE344" w14:textId="77777777" w:rsidR="00213A17" w:rsidRDefault="00213A17" w:rsidP="00213A17">
      <w:pPr>
        <w:spacing w:line="360" w:lineRule="auto"/>
        <w:jc w:val="both"/>
        <w:rPr>
          <w:rFonts w:ascii="Verdana" w:hAnsi="Verdana"/>
          <w:sz w:val="20"/>
          <w:szCs w:val="20"/>
          <w:lang w:val="bg-BG"/>
        </w:rPr>
      </w:pPr>
    </w:p>
    <w:p w14:paraId="247AA450" w14:textId="77777777" w:rsidR="00213A17" w:rsidRDefault="00213A17" w:rsidP="00213A17">
      <w:pPr>
        <w:spacing w:line="360" w:lineRule="auto"/>
        <w:jc w:val="both"/>
      </w:pPr>
      <w:r>
        <w:rPr>
          <w:rFonts w:ascii="Verdana" w:hAnsi="Verdana"/>
          <w:sz w:val="20"/>
          <w:szCs w:val="20"/>
          <w:lang w:val="bg-BG"/>
        </w:rPr>
        <w:tab/>
        <w:t>(3) За членове на Съвета на съдиите и Съвета на прокурорите се избират юристи с високи професионални и нравствени качества, които имат най-малко петнадесет годишен юридически стаж. Председателите на Върховния касационен съд и Върховния административен съд, както и главният прокурор,</w:t>
      </w:r>
      <w:r>
        <w:rPr>
          <w:rFonts w:ascii="Verdana" w:hAnsi="Verdana"/>
          <w:sz w:val="20"/>
          <w:szCs w:val="20"/>
          <w:lang w:val="en-US"/>
        </w:rPr>
        <w:t xml:space="preserve"> </w:t>
      </w:r>
      <w:r>
        <w:rPr>
          <w:rFonts w:ascii="Verdana" w:hAnsi="Verdana"/>
          <w:sz w:val="20"/>
          <w:szCs w:val="20"/>
          <w:lang w:val="bg-BG"/>
        </w:rPr>
        <w:t xml:space="preserve"> не могат да бъдат избирани в съставите на двата съвета. </w:t>
      </w:r>
    </w:p>
    <w:p w14:paraId="0FFE473D" w14:textId="77777777" w:rsidR="00213A17" w:rsidRDefault="00213A17" w:rsidP="00213A17">
      <w:pPr>
        <w:spacing w:line="360" w:lineRule="auto"/>
        <w:jc w:val="both"/>
        <w:rPr>
          <w:rFonts w:ascii="Verdana" w:hAnsi="Verdana"/>
          <w:sz w:val="20"/>
          <w:szCs w:val="20"/>
          <w:lang w:val="bg-BG"/>
        </w:rPr>
      </w:pPr>
    </w:p>
    <w:p w14:paraId="28FFAF27" w14:textId="77777777" w:rsidR="00213A17" w:rsidRDefault="00213A17" w:rsidP="00213A17">
      <w:pPr>
        <w:spacing w:line="360" w:lineRule="auto"/>
        <w:jc w:val="both"/>
        <w:rPr>
          <w:rFonts w:ascii="Verdana" w:hAnsi="Verdana"/>
          <w:sz w:val="20"/>
          <w:szCs w:val="20"/>
          <w:lang w:val="bg-BG"/>
        </w:rPr>
      </w:pPr>
      <w:r>
        <w:rPr>
          <w:rFonts w:ascii="Verdana" w:hAnsi="Verdana"/>
          <w:sz w:val="20"/>
          <w:szCs w:val="20"/>
          <w:lang w:val="bg-BG"/>
        </w:rPr>
        <w:lastRenderedPageBreak/>
        <w:tab/>
        <w:t xml:space="preserve">(4) Членовете на Съвета на съдиите и Съвета на прокурорите от съответните парламентарни квоти се избират от Народното събрание с мнозинство две трети от народните представители. </w:t>
      </w:r>
    </w:p>
    <w:p w14:paraId="73EF2349" w14:textId="77777777" w:rsidR="00213A17" w:rsidRDefault="00213A17" w:rsidP="00213A17">
      <w:pPr>
        <w:spacing w:line="360" w:lineRule="auto"/>
        <w:jc w:val="both"/>
        <w:rPr>
          <w:rFonts w:ascii="Verdana" w:hAnsi="Verdana"/>
          <w:sz w:val="20"/>
          <w:szCs w:val="20"/>
          <w:lang w:val="bg-BG"/>
        </w:rPr>
      </w:pPr>
    </w:p>
    <w:p w14:paraId="3829A999" w14:textId="77777777" w:rsidR="00213A17" w:rsidRDefault="00213A17" w:rsidP="00213A17">
      <w:pPr>
        <w:spacing w:line="360" w:lineRule="auto"/>
        <w:jc w:val="both"/>
        <w:rPr>
          <w:rFonts w:ascii="Verdana" w:hAnsi="Verdana"/>
          <w:sz w:val="20"/>
          <w:szCs w:val="20"/>
          <w:lang w:val="bg-BG"/>
        </w:rPr>
      </w:pPr>
      <w:r>
        <w:rPr>
          <w:rFonts w:ascii="Verdana" w:hAnsi="Verdana"/>
          <w:sz w:val="20"/>
          <w:szCs w:val="20"/>
          <w:lang w:val="bg-BG"/>
        </w:rPr>
        <w:tab/>
        <w:t xml:space="preserve">(5) Мандатът на членовете на двата съвета е пет години. Те не могат да бъдат преизбирани веднага след изтичане на този срок. </w:t>
      </w:r>
    </w:p>
    <w:p w14:paraId="315C12A6" w14:textId="77777777" w:rsidR="00213A17" w:rsidRDefault="00213A17" w:rsidP="00213A17">
      <w:pPr>
        <w:spacing w:line="360" w:lineRule="auto"/>
        <w:jc w:val="both"/>
        <w:rPr>
          <w:rFonts w:ascii="Verdana" w:hAnsi="Verdana"/>
          <w:sz w:val="20"/>
          <w:szCs w:val="20"/>
          <w:lang w:val="bg-BG"/>
        </w:rPr>
      </w:pPr>
    </w:p>
    <w:p w14:paraId="34442965" w14:textId="77777777" w:rsidR="00213A17" w:rsidRDefault="00213A17" w:rsidP="00213A17">
      <w:pPr>
        <w:spacing w:line="360" w:lineRule="auto"/>
        <w:ind w:firstLine="720"/>
        <w:jc w:val="both"/>
        <w:rPr>
          <w:rFonts w:ascii="Verdana" w:hAnsi="Verdana"/>
          <w:sz w:val="20"/>
          <w:szCs w:val="20"/>
          <w:lang w:val="bg-BG"/>
        </w:rPr>
      </w:pPr>
      <w:r>
        <w:rPr>
          <w:rFonts w:ascii="Verdana" w:hAnsi="Verdana"/>
          <w:sz w:val="20"/>
          <w:szCs w:val="20"/>
          <w:lang w:val="bg-BG"/>
        </w:rPr>
        <w:t xml:space="preserve">(6) Мандатът по предходната алинея се прекратява предсрочно при : </w:t>
      </w:r>
    </w:p>
    <w:p w14:paraId="35F4DF49" w14:textId="77777777" w:rsidR="00213A17" w:rsidRDefault="00213A17" w:rsidP="00213A17">
      <w:pPr>
        <w:pStyle w:val="a3"/>
        <w:numPr>
          <w:ilvl w:val="0"/>
          <w:numId w:val="6"/>
        </w:numPr>
        <w:spacing w:line="360" w:lineRule="auto"/>
        <w:jc w:val="both"/>
        <w:rPr>
          <w:rFonts w:ascii="Verdana" w:hAnsi="Verdana"/>
          <w:sz w:val="20"/>
          <w:szCs w:val="20"/>
          <w:lang w:val="bg-BG"/>
        </w:rPr>
      </w:pPr>
      <w:r>
        <w:rPr>
          <w:rFonts w:ascii="Verdana" w:hAnsi="Verdana"/>
          <w:sz w:val="20"/>
          <w:szCs w:val="20"/>
          <w:lang w:val="bg-BG"/>
        </w:rPr>
        <w:t>Подаване на оставка;</w:t>
      </w:r>
    </w:p>
    <w:p w14:paraId="0E26B3F6" w14:textId="77777777" w:rsidR="00213A17" w:rsidRDefault="00213A17" w:rsidP="00213A17">
      <w:pPr>
        <w:pStyle w:val="a3"/>
        <w:numPr>
          <w:ilvl w:val="0"/>
          <w:numId w:val="7"/>
        </w:numPr>
        <w:spacing w:line="360" w:lineRule="auto"/>
        <w:jc w:val="both"/>
        <w:rPr>
          <w:rFonts w:ascii="Verdana" w:hAnsi="Verdana"/>
          <w:sz w:val="20"/>
          <w:szCs w:val="20"/>
          <w:lang w:val="bg-BG"/>
        </w:rPr>
      </w:pPr>
      <w:r>
        <w:rPr>
          <w:rFonts w:ascii="Verdana" w:hAnsi="Verdana"/>
          <w:sz w:val="20"/>
          <w:szCs w:val="20"/>
          <w:lang w:val="bg-BG"/>
        </w:rPr>
        <w:t xml:space="preserve">Влязъл в сила съдебен акт за извършено престъпление; </w:t>
      </w:r>
    </w:p>
    <w:p w14:paraId="7DD29FEF" w14:textId="77777777" w:rsidR="00213A17" w:rsidRDefault="00213A17" w:rsidP="00213A17">
      <w:pPr>
        <w:pStyle w:val="a3"/>
        <w:numPr>
          <w:ilvl w:val="0"/>
          <w:numId w:val="7"/>
        </w:numPr>
        <w:spacing w:line="360" w:lineRule="auto"/>
        <w:jc w:val="both"/>
        <w:rPr>
          <w:rFonts w:ascii="Verdana" w:hAnsi="Verdana"/>
          <w:sz w:val="20"/>
          <w:szCs w:val="20"/>
          <w:lang w:val="bg-BG"/>
        </w:rPr>
      </w:pPr>
      <w:r>
        <w:rPr>
          <w:rFonts w:ascii="Verdana" w:hAnsi="Verdana"/>
          <w:sz w:val="20"/>
          <w:szCs w:val="20"/>
          <w:lang w:val="bg-BG"/>
        </w:rPr>
        <w:t xml:space="preserve">Трайна фактическа невъзможност да се изпълняват задълженията за повече от една година; </w:t>
      </w:r>
    </w:p>
    <w:p w14:paraId="144E7D2D" w14:textId="77777777" w:rsidR="00213A17" w:rsidRDefault="00213A17" w:rsidP="00213A17">
      <w:pPr>
        <w:pStyle w:val="a3"/>
        <w:numPr>
          <w:ilvl w:val="0"/>
          <w:numId w:val="7"/>
        </w:numPr>
        <w:spacing w:line="360" w:lineRule="auto"/>
        <w:jc w:val="both"/>
        <w:rPr>
          <w:rFonts w:ascii="Verdana" w:hAnsi="Verdana"/>
          <w:sz w:val="20"/>
          <w:szCs w:val="20"/>
          <w:lang w:val="bg-BG"/>
        </w:rPr>
      </w:pPr>
      <w:r>
        <w:rPr>
          <w:rFonts w:ascii="Verdana" w:hAnsi="Verdana"/>
          <w:sz w:val="20"/>
          <w:szCs w:val="20"/>
          <w:lang w:val="bg-BG"/>
        </w:rPr>
        <w:t>Дисциплинарно освобождаване от длъжност или лишаване от право да се упражнява юридическа професия или дейност.</w:t>
      </w:r>
    </w:p>
    <w:p w14:paraId="2224E9D0" w14:textId="77777777" w:rsidR="00213A17" w:rsidRDefault="00213A17" w:rsidP="00213A17">
      <w:pPr>
        <w:pStyle w:val="a3"/>
        <w:spacing w:line="360" w:lineRule="auto"/>
        <w:ind w:left="1800"/>
        <w:jc w:val="both"/>
        <w:rPr>
          <w:rFonts w:ascii="Verdana" w:hAnsi="Verdana"/>
          <w:sz w:val="20"/>
          <w:szCs w:val="20"/>
          <w:lang w:val="bg-BG"/>
        </w:rPr>
      </w:pPr>
    </w:p>
    <w:p w14:paraId="7D2A8875" w14:textId="77777777" w:rsidR="00213A17" w:rsidRDefault="00213A17" w:rsidP="00213A17">
      <w:pPr>
        <w:spacing w:line="360" w:lineRule="auto"/>
        <w:ind w:firstLine="720"/>
        <w:jc w:val="both"/>
        <w:rPr>
          <w:rFonts w:ascii="Verdana" w:hAnsi="Verdana"/>
          <w:sz w:val="20"/>
          <w:szCs w:val="20"/>
          <w:lang w:val="bg-BG"/>
        </w:rPr>
      </w:pPr>
      <w:r>
        <w:rPr>
          <w:rFonts w:ascii="Verdana" w:hAnsi="Verdana"/>
          <w:sz w:val="20"/>
          <w:szCs w:val="20"/>
          <w:lang w:val="bg-BG"/>
        </w:rPr>
        <w:t xml:space="preserve">(7) При предсрочно прекратяване на мандата на член, на негово място се избира друг от съответната квота, който довършва мандата. </w:t>
      </w:r>
    </w:p>
    <w:p w14:paraId="63C1DDAC" w14:textId="77777777" w:rsidR="00213A17" w:rsidRDefault="00213A17" w:rsidP="00213A17">
      <w:pPr>
        <w:spacing w:line="360" w:lineRule="auto"/>
        <w:jc w:val="both"/>
        <w:rPr>
          <w:rFonts w:ascii="Verdana" w:hAnsi="Verdana"/>
          <w:sz w:val="20"/>
          <w:szCs w:val="20"/>
          <w:lang w:val="bg-BG"/>
        </w:rPr>
      </w:pPr>
    </w:p>
    <w:p w14:paraId="1F62025A" w14:textId="77777777" w:rsidR="00213A17" w:rsidRDefault="00213A17" w:rsidP="00213A17">
      <w:pPr>
        <w:spacing w:line="360" w:lineRule="auto"/>
        <w:ind w:firstLine="720"/>
        <w:jc w:val="both"/>
        <w:rPr>
          <w:rFonts w:ascii="Verdana" w:hAnsi="Verdana"/>
          <w:sz w:val="20"/>
          <w:szCs w:val="20"/>
          <w:lang w:val="bg-BG"/>
        </w:rPr>
      </w:pPr>
      <w:r>
        <w:rPr>
          <w:rFonts w:ascii="Verdana" w:hAnsi="Verdana"/>
          <w:sz w:val="20"/>
          <w:szCs w:val="20"/>
          <w:lang w:val="bg-BG"/>
        </w:rPr>
        <w:t>(8) Съветът на съдиите и Съветът на прокурорите избират от своя състав председатели с мнозинство повече от половината от членовете.“</w:t>
      </w:r>
    </w:p>
    <w:p w14:paraId="0E00FBA2" w14:textId="77777777" w:rsidR="00213A17" w:rsidRDefault="00213A17" w:rsidP="00213A17">
      <w:pPr>
        <w:spacing w:line="360" w:lineRule="auto"/>
        <w:jc w:val="both"/>
        <w:rPr>
          <w:rFonts w:ascii="Verdana" w:hAnsi="Verdana"/>
          <w:sz w:val="20"/>
          <w:szCs w:val="20"/>
          <w:lang w:val="bg-BG"/>
        </w:rPr>
      </w:pPr>
    </w:p>
    <w:p w14:paraId="56C22D86" w14:textId="64FF79D2" w:rsidR="00213A17" w:rsidRDefault="00213A17" w:rsidP="00213A17">
      <w:pPr>
        <w:spacing w:line="360" w:lineRule="auto"/>
        <w:jc w:val="both"/>
      </w:pPr>
      <w:r>
        <w:rPr>
          <w:rFonts w:ascii="Verdana" w:hAnsi="Verdana"/>
          <w:b/>
          <w:sz w:val="20"/>
          <w:szCs w:val="20"/>
          <w:lang w:val="ru-RU"/>
        </w:rPr>
        <w:t xml:space="preserve">§ </w:t>
      </w:r>
      <w:r>
        <w:rPr>
          <w:rFonts w:ascii="Verdana" w:hAnsi="Verdana"/>
          <w:b/>
          <w:sz w:val="20"/>
          <w:szCs w:val="20"/>
          <w:lang w:val="en-US"/>
        </w:rPr>
        <w:t>6</w:t>
      </w:r>
      <w:r>
        <w:rPr>
          <w:rFonts w:ascii="Verdana" w:hAnsi="Verdana"/>
          <w:b/>
          <w:sz w:val="20"/>
          <w:szCs w:val="20"/>
          <w:lang w:val="ru-RU"/>
        </w:rPr>
        <w:t>.</w:t>
      </w:r>
      <w:r>
        <w:rPr>
          <w:rFonts w:ascii="Verdana" w:hAnsi="Verdana"/>
          <w:sz w:val="20"/>
          <w:szCs w:val="20"/>
          <w:lang w:val="ru-RU"/>
        </w:rPr>
        <w:t xml:space="preserve"> </w:t>
      </w:r>
      <w:r>
        <w:rPr>
          <w:rFonts w:ascii="Verdana" w:hAnsi="Verdana"/>
          <w:sz w:val="20"/>
          <w:szCs w:val="20"/>
          <w:lang w:val="bg-BG"/>
        </w:rPr>
        <w:t xml:space="preserve">Чл. 130а придобива следното съдържание : </w:t>
      </w:r>
    </w:p>
    <w:p w14:paraId="725945F1" w14:textId="77777777" w:rsidR="00213A17" w:rsidRDefault="00213A17" w:rsidP="00213A17">
      <w:pPr>
        <w:spacing w:line="360" w:lineRule="auto"/>
        <w:jc w:val="both"/>
        <w:rPr>
          <w:rFonts w:ascii="Verdana" w:hAnsi="Verdana"/>
          <w:sz w:val="20"/>
          <w:szCs w:val="20"/>
          <w:lang w:val="bg-BG"/>
        </w:rPr>
      </w:pPr>
    </w:p>
    <w:p w14:paraId="65DD2DB4" w14:textId="77777777" w:rsidR="00213A17" w:rsidRDefault="00213A17" w:rsidP="00213A17">
      <w:pPr>
        <w:spacing w:line="360" w:lineRule="auto"/>
        <w:jc w:val="both"/>
        <w:rPr>
          <w:rFonts w:ascii="Verdana" w:hAnsi="Verdana"/>
          <w:sz w:val="20"/>
          <w:szCs w:val="20"/>
          <w:lang w:val="bg-BG"/>
        </w:rPr>
      </w:pPr>
      <w:r>
        <w:rPr>
          <w:rFonts w:ascii="Verdana" w:hAnsi="Verdana"/>
          <w:sz w:val="20"/>
          <w:szCs w:val="20"/>
          <w:lang w:val="bg-BG"/>
        </w:rPr>
        <w:tab/>
        <w:t xml:space="preserve">„(1) Съветът на съдиите и Съветът на прокурорите в съответствие с тяхната специализация : </w:t>
      </w:r>
    </w:p>
    <w:p w14:paraId="712F35AB" w14:textId="77777777" w:rsidR="00213A17" w:rsidRDefault="00213A17" w:rsidP="00213A17">
      <w:pPr>
        <w:spacing w:line="360" w:lineRule="auto"/>
        <w:jc w:val="both"/>
        <w:rPr>
          <w:rFonts w:ascii="Verdana" w:hAnsi="Verdana"/>
          <w:sz w:val="20"/>
          <w:szCs w:val="20"/>
          <w:lang w:val="bg-BG"/>
        </w:rPr>
      </w:pPr>
    </w:p>
    <w:p w14:paraId="3B2AD4D0" w14:textId="77777777" w:rsidR="00213A17" w:rsidRDefault="00213A17" w:rsidP="00213A17">
      <w:pPr>
        <w:pStyle w:val="a3"/>
        <w:numPr>
          <w:ilvl w:val="0"/>
          <w:numId w:val="8"/>
        </w:numPr>
        <w:spacing w:line="360" w:lineRule="auto"/>
        <w:jc w:val="both"/>
        <w:rPr>
          <w:rFonts w:ascii="Verdana" w:hAnsi="Verdana"/>
          <w:sz w:val="20"/>
          <w:szCs w:val="20"/>
          <w:lang w:val="bg-BG"/>
        </w:rPr>
      </w:pPr>
      <w:r>
        <w:rPr>
          <w:rFonts w:ascii="Verdana" w:hAnsi="Verdana"/>
          <w:sz w:val="20"/>
          <w:szCs w:val="20"/>
          <w:lang w:val="bg-BG"/>
        </w:rPr>
        <w:t>Назначават, повишават, понижават, преместват и освобождават от длъжност магистратите;</w:t>
      </w:r>
    </w:p>
    <w:p w14:paraId="7532F46B" w14:textId="77777777" w:rsidR="00213A17" w:rsidRDefault="00213A17" w:rsidP="00213A17">
      <w:pPr>
        <w:pStyle w:val="a3"/>
        <w:numPr>
          <w:ilvl w:val="0"/>
          <w:numId w:val="9"/>
        </w:numPr>
        <w:spacing w:line="360" w:lineRule="auto"/>
        <w:jc w:val="both"/>
        <w:rPr>
          <w:rFonts w:ascii="Verdana" w:hAnsi="Verdana"/>
          <w:sz w:val="20"/>
          <w:szCs w:val="20"/>
          <w:lang w:val="bg-BG"/>
        </w:rPr>
      </w:pPr>
      <w:r>
        <w:rPr>
          <w:rFonts w:ascii="Verdana" w:hAnsi="Verdana"/>
          <w:sz w:val="20"/>
          <w:szCs w:val="20"/>
          <w:lang w:val="bg-BG"/>
        </w:rPr>
        <w:t>Правят предложения до президента на републиката за назначаване и освобождаване на председателя на Върховния касационен съд, председателя на Върховния административен съд и главния прокурор;</w:t>
      </w:r>
    </w:p>
    <w:p w14:paraId="3ED7AA4D" w14:textId="77777777" w:rsidR="00213A17" w:rsidRDefault="00213A17" w:rsidP="00213A17">
      <w:pPr>
        <w:pStyle w:val="a3"/>
        <w:numPr>
          <w:ilvl w:val="0"/>
          <w:numId w:val="9"/>
        </w:numPr>
        <w:spacing w:line="360" w:lineRule="auto"/>
        <w:jc w:val="both"/>
        <w:rPr>
          <w:rFonts w:ascii="Verdana" w:hAnsi="Verdana"/>
          <w:sz w:val="20"/>
          <w:szCs w:val="20"/>
          <w:lang w:val="bg-BG"/>
        </w:rPr>
      </w:pPr>
      <w:r>
        <w:rPr>
          <w:rFonts w:ascii="Verdana" w:hAnsi="Verdana"/>
          <w:sz w:val="20"/>
          <w:szCs w:val="20"/>
          <w:lang w:val="bg-BG"/>
        </w:rPr>
        <w:t>Приемат решения за прекратяване на мандатите на членовете си при условията на чл. 130, ал. 6;</w:t>
      </w:r>
    </w:p>
    <w:p w14:paraId="72AD2882" w14:textId="77777777" w:rsidR="00213A17" w:rsidRDefault="00213A17" w:rsidP="00213A17">
      <w:pPr>
        <w:pStyle w:val="a3"/>
        <w:numPr>
          <w:ilvl w:val="0"/>
          <w:numId w:val="9"/>
        </w:numPr>
        <w:spacing w:line="360" w:lineRule="auto"/>
        <w:jc w:val="both"/>
        <w:rPr>
          <w:rFonts w:ascii="Verdana" w:hAnsi="Verdana"/>
          <w:sz w:val="20"/>
          <w:szCs w:val="20"/>
          <w:lang w:val="bg-BG"/>
        </w:rPr>
      </w:pPr>
      <w:r>
        <w:rPr>
          <w:rFonts w:ascii="Verdana" w:hAnsi="Verdana"/>
          <w:sz w:val="20"/>
          <w:szCs w:val="20"/>
          <w:lang w:val="bg-BG"/>
        </w:rPr>
        <w:t>Изслушват и приемат годишните доклади по чл. 84, т. 16;</w:t>
      </w:r>
    </w:p>
    <w:p w14:paraId="77F7E993" w14:textId="77777777" w:rsidR="00213A17" w:rsidRDefault="00213A17" w:rsidP="00213A17">
      <w:pPr>
        <w:pStyle w:val="a3"/>
        <w:numPr>
          <w:ilvl w:val="0"/>
          <w:numId w:val="9"/>
        </w:numPr>
        <w:spacing w:line="360" w:lineRule="auto"/>
        <w:jc w:val="both"/>
        <w:rPr>
          <w:rFonts w:ascii="Verdana" w:hAnsi="Verdana"/>
          <w:sz w:val="20"/>
          <w:szCs w:val="20"/>
          <w:lang w:val="bg-BG"/>
        </w:rPr>
      </w:pPr>
      <w:r>
        <w:rPr>
          <w:rFonts w:ascii="Verdana" w:hAnsi="Verdana"/>
          <w:sz w:val="20"/>
          <w:szCs w:val="20"/>
          <w:lang w:val="bg-BG"/>
        </w:rPr>
        <w:lastRenderedPageBreak/>
        <w:t>Извършват периодични атестации на магистратите и административните ръководители в органите на съдебната власт и решават въпроси за придобиване и възстановяване на несменяемост;</w:t>
      </w:r>
    </w:p>
    <w:p w14:paraId="7CC8B166" w14:textId="77777777" w:rsidR="00213A17" w:rsidRDefault="00213A17" w:rsidP="00213A17">
      <w:pPr>
        <w:pStyle w:val="a3"/>
        <w:numPr>
          <w:ilvl w:val="0"/>
          <w:numId w:val="9"/>
        </w:numPr>
        <w:spacing w:line="360" w:lineRule="auto"/>
        <w:jc w:val="both"/>
        <w:rPr>
          <w:rFonts w:ascii="Verdana" w:hAnsi="Verdana"/>
          <w:sz w:val="20"/>
          <w:szCs w:val="20"/>
          <w:lang w:val="bg-BG"/>
        </w:rPr>
      </w:pPr>
      <w:r>
        <w:rPr>
          <w:rFonts w:ascii="Verdana" w:hAnsi="Verdana"/>
          <w:sz w:val="20"/>
          <w:szCs w:val="20"/>
          <w:lang w:val="bg-BG"/>
        </w:rPr>
        <w:t xml:space="preserve">Налагат дисциплинарните наказания понижаване и освобождаване от длъжност на магистратите и административните ръководители в органите на съдебната власт; </w:t>
      </w:r>
    </w:p>
    <w:p w14:paraId="3A4A7FC7" w14:textId="77777777" w:rsidR="00213A17" w:rsidRDefault="00213A17" w:rsidP="00213A17">
      <w:pPr>
        <w:pStyle w:val="a3"/>
        <w:numPr>
          <w:ilvl w:val="0"/>
          <w:numId w:val="9"/>
        </w:numPr>
        <w:spacing w:line="360" w:lineRule="auto"/>
        <w:jc w:val="both"/>
        <w:rPr>
          <w:rFonts w:ascii="Verdana" w:hAnsi="Verdana"/>
          <w:sz w:val="20"/>
          <w:szCs w:val="20"/>
          <w:lang w:val="bg-BG"/>
        </w:rPr>
      </w:pPr>
      <w:r>
        <w:rPr>
          <w:rFonts w:ascii="Verdana" w:hAnsi="Verdana"/>
          <w:sz w:val="20"/>
          <w:szCs w:val="20"/>
          <w:lang w:val="bg-BG"/>
        </w:rPr>
        <w:t xml:space="preserve"> Назначават и освобождават административните ръководители в органите на съдебната власт;</w:t>
      </w:r>
    </w:p>
    <w:p w14:paraId="5714DA85" w14:textId="77777777" w:rsidR="00213A17" w:rsidRDefault="00213A17" w:rsidP="00213A17">
      <w:pPr>
        <w:pStyle w:val="a3"/>
        <w:numPr>
          <w:ilvl w:val="0"/>
          <w:numId w:val="9"/>
        </w:numPr>
        <w:spacing w:line="360" w:lineRule="auto"/>
        <w:jc w:val="both"/>
        <w:rPr>
          <w:rFonts w:ascii="Verdana" w:hAnsi="Verdana"/>
          <w:sz w:val="20"/>
          <w:szCs w:val="20"/>
          <w:lang w:val="bg-BG"/>
        </w:rPr>
      </w:pPr>
      <w:r>
        <w:rPr>
          <w:rFonts w:ascii="Verdana" w:hAnsi="Verdana"/>
          <w:sz w:val="20"/>
          <w:szCs w:val="20"/>
          <w:lang w:val="bg-BG"/>
        </w:rPr>
        <w:t>Решават въпроси за организацията на дейността на съответната система от органи на съдебната власт;</w:t>
      </w:r>
    </w:p>
    <w:p w14:paraId="5610095D" w14:textId="77777777" w:rsidR="00213A17" w:rsidRDefault="00213A17" w:rsidP="00213A17">
      <w:pPr>
        <w:pStyle w:val="a3"/>
        <w:numPr>
          <w:ilvl w:val="0"/>
          <w:numId w:val="9"/>
        </w:numPr>
        <w:spacing w:line="360" w:lineRule="auto"/>
        <w:jc w:val="both"/>
        <w:rPr>
          <w:rFonts w:ascii="Verdana" w:hAnsi="Verdana"/>
          <w:sz w:val="20"/>
          <w:szCs w:val="20"/>
          <w:lang w:val="bg-BG"/>
        </w:rPr>
      </w:pPr>
      <w:r>
        <w:rPr>
          <w:rFonts w:ascii="Verdana" w:hAnsi="Verdana"/>
          <w:sz w:val="20"/>
          <w:szCs w:val="20"/>
          <w:lang w:val="bg-BG"/>
        </w:rPr>
        <w:t>Осъществяват и други правомощия, определени със закон.</w:t>
      </w:r>
    </w:p>
    <w:p w14:paraId="404427F3" w14:textId="77777777" w:rsidR="00213A17" w:rsidRDefault="00213A17" w:rsidP="00213A17">
      <w:pPr>
        <w:spacing w:line="360" w:lineRule="auto"/>
        <w:jc w:val="both"/>
        <w:rPr>
          <w:rFonts w:ascii="Verdana" w:hAnsi="Verdana"/>
          <w:sz w:val="20"/>
          <w:szCs w:val="20"/>
          <w:lang w:val="bg-BG"/>
        </w:rPr>
      </w:pPr>
    </w:p>
    <w:p w14:paraId="11BD7616" w14:textId="77777777" w:rsidR="00213A17" w:rsidRDefault="00213A17" w:rsidP="00213A17">
      <w:pPr>
        <w:spacing w:line="360" w:lineRule="auto"/>
        <w:ind w:firstLine="720"/>
        <w:jc w:val="both"/>
        <w:rPr>
          <w:rFonts w:ascii="Verdana" w:hAnsi="Verdana"/>
          <w:sz w:val="20"/>
          <w:szCs w:val="20"/>
          <w:lang w:val="bg-BG"/>
        </w:rPr>
      </w:pPr>
      <w:r>
        <w:rPr>
          <w:rFonts w:ascii="Verdana" w:hAnsi="Verdana"/>
          <w:sz w:val="20"/>
          <w:szCs w:val="20"/>
          <w:lang w:val="bg-BG"/>
        </w:rPr>
        <w:t xml:space="preserve">(2) Съветът на прокурорите избира заместник главни прокурори по предложение на Главния прокурор, а Съветът на съдиите избира заместници на председателите на върховните съдилища по предложение на председателите им.  </w:t>
      </w:r>
    </w:p>
    <w:p w14:paraId="2C67F78B" w14:textId="77777777" w:rsidR="00213A17" w:rsidRDefault="00213A17" w:rsidP="00213A17">
      <w:pPr>
        <w:spacing w:line="360" w:lineRule="auto"/>
        <w:ind w:left="720"/>
        <w:jc w:val="both"/>
        <w:rPr>
          <w:rFonts w:ascii="Verdana" w:hAnsi="Verdana"/>
          <w:sz w:val="20"/>
          <w:szCs w:val="20"/>
          <w:lang w:val="bg-BG"/>
        </w:rPr>
      </w:pPr>
    </w:p>
    <w:p w14:paraId="2B906943" w14:textId="77777777" w:rsidR="00213A17" w:rsidRDefault="00213A17" w:rsidP="00213A17">
      <w:pPr>
        <w:spacing w:line="360" w:lineRule="auto"/>
        <w:ind w:firstLine="720"/>
        <w:jc w:val="both"/>
        <w:rPr>
          <w:rFonts w:ascii="Verdana" w:hAnsi="Verdana"/>
          <w:sz w:val="20"/>
          <w:szCs w:val="20"/>
          <w:lang w:val="bg-BG"/>
        </w:rPr>
      </w:pPr>
      <w:r>
        <w:rPr>
          <w:rFonts w:ascii="Verdana" w:hAnsi="Verdana"/>
          <w:sz w:val="20"/>
          <w:szCs w:val="20"/>
          <w:lang w:val="bg-BG"/>
        </w:rPr>
        <w:t xml:space="preserve">(3) Съветът на съдиите и Съветът на прокурорите приемат своите решения с мнозинство, не по – малко от девет гласа. </w:t>
      </w:r>
    </w:p>
    <w:p w14:paraId="5E22FA0B" w14:textId="77777777" w:rsidR="00213A17" w:rsidRDefault="00213A17" w:rsidP="00213A17">
      <w:pPr>
        <w:spacing w:line="360" w:lineRule="auto"/>
        <w:ind w:firstLine="720"/>
        <w:jc w:val="both"/>
        <w:rPr>
          <w:rFonts w:ascii="Verdana" w:hAnsi="Verdana"/>
          <w:sz w:val="20"/>
          <w:szCs w:val="20"/>
          <w:lang w:val="bg-BG"/>
        </w:rPr>
      </w:pPr>
      <w:r>
        <w:rPr>
          <w:rFonts w:ascii="Verdana" w:hAnsi="Verdana"/>
          <w:sz w:val="20"/>
          <w:szCs w:val="20"/>
          <w:lang w:val="bg-BG"/>
        </w:rPr>
        <w:t>Актовете на съветите се обжалват пред Върховния административен съд.</w:t>
      </w:r>
    </w:p>
    <w:p w14:paraId="7EDF5581" w14:textId="77777777" w:rsidR="00213A17" w:rsidRDefault="00213A17" w:rsidP="00213A17">
      <w:pPr>
        <w:spacing w:line="360" w:lineRule="auto"/>
        <w:ind w:left="720"/>
        <w:jc w:val="both"/>
        <w:rPr>
          <w:rFonts w:ascii="Verdana" w:hAnsi="Verdana"/>
          <w:sz w:val="20"/>
          <w:szCs w:val="20"/>
          <w:lang w:val="bg-BG"/>
        </w:rPr>
      </w:pPr>
    </w:p>
    <w:p w14:paraId="58E02A13" w14:textId="77777777" w:rsidR="00213A17" w:rsidRDefault="00213A17" w:rsidP="00213A17">
      <w:pPr>
        <w:spacing w:line="360" w:lineRule="auto"/>
        <w:ind w:firstLine="720"/>
        <w:jc w:val="both"/>
        <w:rPr>
          <w:rFonts w:ascii="Verdana" w:hAnsi="Verdana"/>
          <w:sz w:val="20"/>
          <w:szCs w:val="20"/>
          <w:lang w:val="bg-BG"/>
        </w:rPr>
      </w:pPr>
      <w:r>
        <w:rPr>
          <w:rFonts w:ascii="Verdana" w:hAnsi="Verdana"/>
          <w:sz w:val="20"/>
          <w:szCs w:val="20"/>
          <w:lang w:val="bg-BG"/>
        </w:rPr>
        <w:t>(4) Министърът на правосъдието и главния инспектор могат да присъстват на заседания на Съвета на съдиите и Съвета на прокурорите, като не участват в гласуването.“</w:t>
      </w:r>
    </w:p>
    <w:p w14:paraId="2ABB109E" w14:textId="77777777" w:rsidR="00213A17" w:rsidRDefault="00213A17" w:rsidP="00213A17">
      <w:pPr>
        <w:spacing w:line="360" w:lineRule="auto"/>
        <w:ind w:firstLine="720"/>
        <w:jc w:val="both"/>
        <w:rPr>
          <w:rFonts w:ascii="Verdana" w:hAnsi="Verdana"/>
          <w:sz w:val="20"/>
          <w:szCs w:val="20"/>
          <w:lang w:val="bg-BG"/>
        </w:rPr>
      </w:pPr>
    </w:p>
    <w:p w14:paraId="65793E96" w14:textId="3F84802D" w:rsidR="00213A17" w:rsidRDefault="00213A17" w:rsidP="00213A17">
      <w:pPr>
        <w:spacing w:line="360" w:lineRule="auto"/>
        <w:jc w:val="both"/>
      </w:pPr>
      <w:r>
        <w:rPr>
          <w:rFonts w:ascii="Verdana" w:hAnsi="Verdana"/>
          <w:b/>
          <w:sz w:val="20"/>
          <w:szCs w:val="20"/>
          <w:lang w:val="ru-RU"/>
        </w:rPr>
        <w:t>§</w:t>
      </w:r>
      <w:r>
        <w:rPr>
          <w:rFonts w:ascii="Verdana" w:hAnsi="Verdana"/>
          <w:b/>
          <w:sz w:val="20"/>
          <w:szCs w:val="20"/>
          <w:lang w:val="en-US"/>
        </w:rPr>
        <w:t>7</w:t>
      </w:r>
      <w:r>
        <w:rPr>
          <w:rFonts w:ascii="Verdana" w:hAnsi="Verdana"/>
          <w:b/>
          <w:sz w:val="20"/>
          <w:szCs w:val="20"/>
          <w:lang w:val="ru-RU"/>
        </w:rPr>
        <w:t>.</w:t>
      </w:r>
      <w:r>
        <w:rPr>
          <w:rFonts w:ascii="Verdana" w:hAnsi="Verdana"/>
          <w:sz w:val="20"/>
          <w:szCs w:val="20"/>
          <w:lang w:val="ru-RU"/>
        </w:rPr>
        <w:t xml:space="preserve"> </w:t>
      </w:r>
      <w:r>
        <w:rPr>
          <w:rFonts w:ascii="Verdana" w:hAnsi="Verdana"/>
          <w:sz w:val="20"/>
          <w:szCs w:val="20"/>
          <w:lang w:val="bg-BG"/>
        </w:rPr>
        <w:t xml:space="preserve">Чл. 130б придобива следното съдържание : </w:t>
      </w:r>
    </w:p>
    <w:p w14:paraId="7762DB61" w14:textId="77777777" w:rsidR="00213A17" w:rsidRDefault="00213A17" w:rsidP="00213A17">
      <w:pPr>
        <w:spacing w:line="360" w:lineRule="auto"/>
        <w:jc w:val="both"/>
        <w:rPr>
          <w:rFonts w:ascii="Verdana" w:hAnsi="Verdana"/>
          <w:sz w:val="20"/>
          <w:szCs w:val="20"/>
          <w:lang w:val="bg-BG"/>
        </w:rPr>
      </w:pPr>
      <w:r>
        <w:rPr>
          <w:rFonts w:ascii="Verdana" w:hAnsi="Verdana"/>
          <w:sz w:val="20"/>
          <w:szCs w:val="20"/>
          <w:lang w:val="bg-BG"/>
        </w:rPr>
        <w:tab/>
      </w:r>
    </w:p>
    <w:p w14:paraId="2686FEBE" w14:textId="77777777" w:rsidR="00213A17" w:rsidRDefault="00213A17" w:rsidP="00213A17">
      <w:pPr>
        <w:spacing w:line="360" w:lineRule="auto"/>
        <w:jc w:val="both"/>
        <w:rPr>
          <w:rFonts w:ascii="Verdana" w:hAnsi="Verdana"/>
          <w:sz w:val="20"/>
          <w:szCs w:val="20"/>
          <w:lang w:val="bg-BG"/>
        </w:rPr>
      </w:pPr>
      <w:r>
        <w:rPr>
          <w:rFonts w:ascii="Verdana" w:hAnsi="Verdana"/>
          <w:sz w:val="20"/>
          <w:szCs w:val="20"/>
          <w:lang w:val="bg-BG"/>
        </w:rPr>
        <w:tab/>
        <w:t xml:space="preserve">„(1) Членовете на Съвета на съдиите и Съвета на прокурорите формират Висш съвет на магистратурата, заседанията на който се ръководят последователно от председателите на двата съвета. </w:t>
      </w:r>
    </w:p>
    <w:p w14:paraId="23E78515" w14:textId="77777777" w:rsidR="00213A17" w:rsidRDefault="00213A17" w:rsidP="00213A17">
      <w:pPr>
        <w:spacing w:line="360" w:lineRule="auto"/>
        <w:jc w:val="both"/>
        <w:rPr>
          <w:rFonts w:ascii="Verdana" w:hAnsi="Verdana"/>
          <w:sz w:val="20"/>
          <w:szCs w:val="20"/>
          <w:lang w:val="bg-BG"/>
        </w:rPr>
      </w:pPr>
    </w:p>
    <w:p w14:paraId="03E94A1A" w14:textId="77777777" w:rsidR="00213A17" w:rsidRDefault="00213A17" w:rsidP="00213A17">
      <w:pPr>
        <w:spacing w:line="360" w:lineRule="auto"/>
        <w:jc w:val="both"/>
        <w:rPr>
          <w:rFonts w:ascii="Verdana" w:hAnsi="Verdana"/>
          <w:sz w:val="20"/>
          <w:szCs w:val="20"/>
          <w:lang w:val="bg-BG"/>
        </w:rPr>
      </w:pPr>
      <w:r>
        <w:rPr>
          <w:rFonts w:ascii="Verdana" w:hAnsi="Verdana"/>
          <w:sz w:val="20"/>
          <w:szCs w:val="20"/>
          <w:lang w:val="bg-BG"/>
        </w:rPr>
        <w:tab/>
        <w:t xml:space="preserve">(2) Висшият съвет на магистратурата : </w:t>
      </w:r>
    </w:p>
    <w:p w14:paraId="27CC8843" w14:textId="77777777" w:rsidR="00213A17" w:rsidRDefault="00213A17" w:rsidP="00213A17">
      <w:pPr>
        <w:spacing w:line="360" w:lineRule="auto"/>
        <w:jc w:val="both"/>
        <w:rPr>
          <w:rFonts w:ascii="Verdana" w:hAnsi="Verdana"/>
          <w:sz w:val="20"/>
          <w:szCs w:val="20"/>
          <w:lang w:val="bg-BG"/>
        </w:rPr>
      </w:pPr>
    </w:p>
    <w:p w14:paraId="6C942A62" w14:textId="77777777" w:rsidR="00213A17" w:rsidRDefault="00213A17" w:rsidP="00213A17">
      <w:pPr>
        <w:pStyle w:val="a3"/>
        <w:numPr>
          <w:ilvl w:val="0"/>
          <w:numId w:val="10"/>
        </w:numPr>
        <w:spacing w:line="360" w:lineRule="auto"/>
        <w:jc w:val="both"/>
        <w:rPr>
          <w:rFonts w:ascii="Verdana" w:hAnsi="Verdana"/>
          <w:sz w:val="20"/>
          <w:szCs w:val="20"/>
          <w:lang w:val="bg-BG"/>
        </w:rPr>
      </w:pPr>
      <w:r>
        <w:rPr>
          <w:rFonts w:ascii="Verdana" w:hAnsi="Verdana"/>
          <w:sz w:val="20"/>
          <w:szCs w:val="20"/>
          <w:lang w:val="bg-BG"/>
        </w:rPr>
        <w:t>Приема проекта на бюджета на съдебната власт въз основа на предложение от министъра на правосъдието;</w:t>
      </w:r>
    </w:p>
    <w:p w14:paraId="0B2AECB6" w14:textId="77777777" w:rsidR="00213A17" w:rsidRDefault="00213A17" w:rsidP="00213A17">
      <w:pPr>
        <w:pStyle w:val="a3"/>
        <w:numPr>
          <w:ilvl w:val="0"/>
          <w:numId w:val="11"/>
        </w:numPr>
        <w:spacing w:line="360" w:lineRule="auto"/>
        <w:jc w:val="both"/>
        <w:rPr>
          <w:rFonts w:ascii="Verdana" w:hAnsi="Verdana"/>
          <w:sz w:val="20"/>
          <w:szCs w:val="20"/>
          <w:lang w:val="bg-BG"/>
        </w:rPr>
      </w:pPr>
      <w:r>
        <w:rPr>
          <w:rFonts w:ascii="Verdana" w:hAnsi="Verdana"/>
          <w:sz w:val="20"/>
          <w:szCs w:val="20"/>
          <w:lang w:val="bg-BG"/>
        </w:rPr>
        <w:t>Организира квалификацията на магистратите;</w:t>
      </w:r>
    </w:p>
    <w:p w14:paraId="08C7C661" w14:textId="77777777" w:rsidR="00213A17" w:rsidRDefault="00213A17" w:rsidP="00213A17">
      <w:pPr>
        <w:pStyle w:val="a3"/>
        <w:numPr>
          <w:ilvl w:val="0"/>
          <w:numId w:val="11"/>
        </w:numPr>
        <w:spacing w:line="360" w:lineRule="auto"/>
        <w:jc w:val="both"/>
        <w:rPr>
          <w:rFonts w:ascii="Verdana" w:hAnsi="Verdana"/>
          <w:sz w:val="20"/>
          <w:szCs w:val="20"/>
          <w:lang w:val="bg-BG"/>
        </w:rPr>
      </w:pPr>
      <w:r>
        <w:rPr>
          <w:rFonts w:ascii="Verdana" w:hAnsi="Verdana"/>
          <w:sz w:val="20"/>
          <w:szCs w:val="20"/>
          <w:lang w:val="bg-BG"/>
        </w:rPr>
        <w:lastRenderedPageBreak/>
        <w:t>Решава общи за съдебната власт организационни въпроси;</w:t>
      </w:r>
    </w:p>
    <w:p w14:paraId="73123CEB" w14:textId="77777777" w:rsidR="00213A17" w:rsidRDefault="00213A17" w:rsidP="00213A17">
      <w:pPr>
        <w:pStyle w:val="a3"/>
        <w:numPr>
          <w:ilvl w:val="0"/>
          <w:numId w:val="11"/>
        </w:numPr>
        <w:spacing w:line="360" w:lineRule="auto"/>
        <w:jc w:val="both"/>
        <w:rPr>
          <w:rFonts w:ascii="Verdana" w:hAnsi="Verdana"/>
          <w:sz w:val="20"/>
          <w:szCs w:val="20"/>
          <w:lang w:val="bg-BG"/>
        </w:rPr>
      </w:pPr>
      <w:r>
        <w:rPr>
          <w:rFonts w:ascii="Verdana" w:hAnsi="Verdana"/>
          <w:sz w:val="20"/>
          <w:szCs w:val="20"/>
          <w:lang w:val="bg-BG"/>
        </w:rPr>
        <w:t>Управлява недвижимите имоти на съдебната власт.</w:t>
      </w:r>
    </w:p>
    <w:p w14:paraId="1DB800BB" w14:textId="77777777" w:rsidR="00213A17" w:rsidRDefault="00213A17" w:rsidP="00213A17">
      <w:pPr>
        <w:pStyle w:val="a3"/>
        <w:spacing w:line="360" w:lineRule="auto"/>
        <w:ind w:left="2520"/>
        <w:jc w:val="both"/>
        <w:rPr>
          <w:rFonts w:ascii="Verdana" w:hAnsi="Verdana"/>
          <w:sz w:val="20"/>
          <w:szCs w:val="20"/>
          <w:lang w:val="bg-BG"/>
        </w:rPr>
      </w:pPr>
    </w:p>
    <w:p w14:paraId="3700B510" w14:textId="77777777" w:rsidR="00213A17" w:rsidRDefault="00213A17" w:rsidP="00213A17">
      <w:pPr>
        <w:spacing w:line="360" w:lineRule="auto"/>
        <w:ind w:firstLine="720"/>
        <w:jc w:val="both"/>
        <w:rPr>
          <w:rFonts w:ascii="Verdana" w:hAnsi="Verdana"/>
          <w:sz w:val="20"/>
          <w:szCs w:val="20"/>
          <w:lang w:val="bg-BG"/>
        </w:rPr>
      </w:pPr>
      <w:r>
        <w:rPr>
          <w:rFonts w:ascii="Verdana" w:hAnsi="Verdana"/>
          <w:sz w:val="20"/>
          <w:szCs w:val="20"/>
          <w:lang w:val="bg-BG"/>
        </w:rPr>
        <w:t xml:space="preserve">(3) Решенията на Висшия съвет на магистратурата се приемат с мнозинство повече от половината от членовете на съвета. </w:t>
      </w:r>
    </w:p>
    <w:p w14:paraId="312F0A52" w14:textId="77777777" w:rsidR="00213A17" w:rsidRDefault="00213A17" w:rsidP="00213A17">
      <w:pPr>
        <w:spacing w:line="360" w:lineRule="auto"/>
        <w:jc w:val="both"/>
        <w:rPr>
          <w:rFonts w:ascii="Verdana" w:hAnsi="Verdana"/>
          <w:sz w:val="20"/>
          <w:szCs w:val="20"/>
          <w:lang w:val="bg-BG"/>
        </w:rPr>
      </w:pPr>
    </w:p>
    <w:p w14:paraId="74ABA7A7" w14:textId="77777777" w:rsidR="00213A17" w:rsidRDefault="00213A17" w:rsidP="00213A17">
      <w:pPr>
        <w:spacing w:line="360" w:lineRule="auto"/>
        <w:jc w:val="both"/>
        <w:rPr>
          <w:rFonts w:ascii="Verdana" w:hAnsi="Verdana"/>
          <w:sz w:val="20"/>
          <w:szCs w:val="20"/>
          <w:lang w:val="bg-BG"/>
        </w:rPr>
      </w:pPr>
      <w:r>
        <w:rPr>
          <w:rFonts w:ascii="Verdana" w:hAnsi="Verdana"/>
          <w:sz w:val="20"/>
          <w:szCs w:val="20"/>
          <w:lang w:val="bg-BG"/>
        </w:rPr>
        <w:tab/>
        <w:t>(4) Министърът на правосъдието може да отправя предложения до Висшия съвет на магистратурата, свързани с правомощията по ал.2.“</w:t>
      </w:r>
    </w:p>
    <w:p w14:paraId="784BB6E3" w14:textId="77777777" w:rsidR="00213A17" w:rsidRDefault="00213A17" w:rsidP="00213A17">
      <w:pPr>
        <w:spacing w:line="360" w:lineRule="auto"/>
        <w:jc w:val="both"/>
        <w:rPr>
          <w:rFonts w:ascii="Verdana" w:hAnsi="Verdana"/>
          <w:sz w:val="20"/>
          <w:szCs w:val="20"/>
          <w:lang w:val="bg-BG"/>
        </w:rPr>
      </w:pPr>
    </w:p>
    <w:p w14:paraId="0BB4212C" w14:textId="0B0B7DF5" w:rsidR="00213A17" w:rsidRDefault="00213A17" w:rsidP="00213A17">
      <w:pPr>
        <w:spacing w:line="360" w:lineRule="auto"/>
        <w:jc w:val="both"/>
      </w:pPr>
      <w:r>
        <w:rPr>
          <w:rFonts w:ascii="Verdana" w:hAnsi="Verdana"/>
          <w:b/>
          <w:sz w:val="20"/>
          <w:szCs w:val="20"/>
          <w:lang w:val="ru-RU"/>
        </w:rPr>
        <w:t>§</w:t>
      </w:r>
      <w:r>
        <w:rPr>
          <w:rFonts w:ascii="Verdana" w:hAnsi="Verdana"/>
          <w:b/>
          <w:sz w:val="20"/>
          <w:szCs w:val="20"/>
          <w:lang w:val="en-US"/>
        </w:rPr>
        <w:t>8</w:t>
      </w:r>
      <w:r>
        <w:rPr>
          <w:rFonts w:ascii="Verdana" w:hAnsi="Verdana"/>
          <w:b/>
          <w:sz w:val="20"/>
          <w:szCs w:val="20"/>
          <w:lang w:val="ru-RU"/>
        </w:rPr>
        <w:t>.</w:t>
      </w:r>
      <w:r>
        <w:rPr>
          <w:rFonts w:ascii="Verdana" w:hAnsi="Verdana"/>
          <w:sz w:val="20"/>
          <w:szCs w:val="20"/>
          <w:lang w:val="ru-RU"/>
        </w:rPr>
        <w:t xml:space="preserve"> </w:t>
      </w:r>
      <w:r>
        <w:rPr>
          <w:rFonts w:ascii="Verdana" w:hAnsi="Verdana"/>
          <w:sz w:val="20"/>
          <w:szCs w:val="20"/>
          <w:lang w:val="bg-BG"/>
        </w:rPr>
        <w:t>Член 130в се отменя.</w:t>
      </w:r>
    </w:p>
    <w:p w14:paraId="18694E75" w14:textId="77777777" w:rsidR="00213A17" w:rsidRDefault="00213A17" w:rsidP="00213A17">
      <w:pPr>
        <w:spacing w:line="360" w:lineRule="auto"/>
        <w:jc w:val="both"/>
        <w:rPr>
          <w:rFonts w:ascii="Verdana" w:hAnsi="Verdana"/>
          <w:sz w:val="20"/>
          <w:szCs w:val="20"/>
          <w:lang w:val="bg-BG"/>
        </w:rPr>
      </w:pPr>
    </w:p>
    <w:p w14:paraId="1AF39E32" w14:textId="3E225014" w:rsidR="00213A17" w:rsidRDefault="00213A17" w:rsidP="00213A17">
      <w:pPr>
        <w:spacing w:line="360" w:lineRule="auto"/>
        <w:jc w:val="both"/>
      </w:pPr>
      <w:r>
        <w:rPr>
          <w:rFonts w:ascii="Verdana" w:hAnsi="Verdana"/>
          <w:b/>
          <w:sz w:val="20"/>
          <w:szCs w:val="20"/>
          <w:lang w:val="ru-RU"/>
        </w:rPr>
        <w:t>§</w:t>
      </w:r>
      <w:r>
        <w:rPr>
          <w:rFonts w:ascii="Verdana" w:hAnsi="Verdana"/>
          <w:b/>
          <w:sz w:val="20"/>
          <w:szCs w:val="20"/>
          <w:lang w:val="en-US"/>
        </w:rPr>
        <w:t>9</w:t>
      </w:r>
      <w:r>
        <w:rPr>
          <w:rFonts w:ascii="Verdana" w:hAnsi="Verdana"/>
          <w:b/>
          <w:sz w:val="20"/>
          <w:szCs w:val="20"/>
          <w:lang w:val="ru-RU"/>
        </w:rPr>
        <w:t>.</w:t>
      </w:r>
      <w:r>
        <w:rPr>
          <w:rFonts w:ascii="Verdana" w:hAnsi="Verdana"/>
          <w:sz w:val="20"/>
          <w:szCs w:val="20"/>
          <w:lang w:val="ru-RU"/>
        </w:rPr>
        <w:t xml:space="preserve"> </w:t>
      </w:r>
      <w:r>
        <w:rPr>
          <w:rFonts w:ascii="Verdana" w:hAnsi="Verdana"/>
          <w:sz w:val="20"/>
          <w:szCs w:val="20"/>
          <w:lang w:val="bg-BG"/>
        </w:rPr>
        <w:t xml:space="preserve">Член 132 става чл. 131, а чл. 132а става чл. 132. </w:t>
      </w:r>
    </w:p>
    <w:p w14:paraId="0F08A6C7" w14:textId="77777777" w:rsidR="00213A17" w:rsidRDefault="00213A17" w:rsidP="00213A17">
      <w:pPr>
        <w:spacing w:line="360" w:lineRule="auto"/>
        <w:jc w:val="both"/>
        <w:rPr>
          <w:rFonts w:ascii="Verdana" w:hAnsi="Verdana"/>
          <w:sz w:val="20"/>
          <w:szCs w:val="20"/>
          <w:lang w:val="bg-BG"/>
        </w:rPr>
      </w:pPr>
    </w:p>
    <w:p w14:paraId="59F2E620" w14:textId="1609D981" w:rsidR="00213A17" w:rsidRDefault="00213A17" w:rsidP="00213A17">
      <w:pPr>
        <w:spacing w:line="360" w:lineRule="auto"/>
        <w:jc w:val="both"/>
      </w:pPr>
      <w:r>
        <w:rPr>
          <w:rFonts w:ascii="Verdana" w:hAnsi="Verdana"/>
          <w:b/>
          <w:sz w:val="20"/>
          <w:szCs w:val="20"/>
          <w:lang w:val="ru-RU"/>
        </w:rPr>
        <w:t>§1</w:t>
      </w:r>
      <w:r>
        <w:rPr>
          <w:rFonts w:ascii="Verdana" w:hAnsi="Verdana"/>
          <w:b/>
          <w:sz w:val="20"/>
          <w:szCs w:val="20"/>
          <w:lang w:val="en-US"/>
        </w:rPr>
        <w:t>0</w:t>
      </w:r>
      <w:r>
        <w:rPr>
          <w:rFonts w:ascii="Verdana" w:hAnsi="Verdana"/>
          <w:b/>
          <w:sz w:val="20"/>
          <w:szCs w:val="20"/>
          <w:lang w:val="ru-RU"/>
        </w:rPr>
        <w:t>.</w:t>
      </w:r>
      <w:r>
        <w:rPr>
          <w:rFonts w:ascii="Verdana" w:hAnsi="Verdana"/>
          <w:sz w:val="20"/>
          <w:szCs w:val="20"/>
          <w:lang w:val="ru-RU"/>
        </w:rPr>
        <w:t xml:space="preserve"> </w:t>
      </w:r>
      <w:r>
        <w:rPr>
          <w:rFonts w:ascii="Verdana" w:hAnsi="Verdana"/>
          <w:sz w:val="20"/>
          <w:szCs w:val="20"/>
          <w:lang w:val="bg-BG"/>
        </w:rPr>
        <w:t>В чл. 132, ал.1 думите „към Висшия съдебен съвет се създава Инспекторат“ се заменят с „създава се Инспекторат на съдебната власт“ и в ал. 8 думите „Висш съдебен съвет“ се заменят с „Съвета на съдиите и Съвета на прокурорите“.</w:t>
      </w:r>
    </w:p>
    <w:p w14:paraId="56733E8D" w14:textId="77777777" w:rsidR="00213A17" w:rsidRDefault="00213A17" w:rsidP="00213A17">
      <w:pPr>
        <w:spacing w:line="360" w:lineRule="auto"/>
        <w:jc w:val="both"/>
        <w:rPr>
          <w:rFonts w:ascii="Verdana" w:hAnsi="Verdana"/>
          <w:sz w:val="20"/>
          <w:szCs w:val="20"/>
          <w:lang w:val="bg-BG"/>
        </w:rPr>
      </w:pPr>
    </w:p>
    <w:p w14:paraId="1E339AC4" w14:textId="317E1D09" w:rsidR="00213A17" w:rsidRDefault="00213A17" w:rsidP="00213A17">
      <w:pPr>
        <w:spacing w:line="360" w:lineRule="auto"/>
        <w:jc w:val="both"/>
      </w:pPr>
      <w:r>
        <w:rPr>
          <w:rFonts w:ascii="Verdana" w:hAnsi="Verdana"/>
          <w:b/>
          <w:sz w:val="20"/>
          <w:szCs w:val="20"/>
          <w:lang w:val="ru-RU"/>
        </w:rPr>
        <w:t>§1</w:t>
      </w:r>
      <w:r>
        <w:rPr>
          <w:rFonts w:ascii="Verdana" w:hAnsi="Verdana"/>
          <w:b/>
          <w:sz w:val="20"/>
          <w:szCs w:val="20"/>
          <w:lang w:val="en-US"/>
        </w:rPr>
        <w:t>1</w:t>
      </w:r>
      <w:r>
        <w:rPr>
          <w:rFonts w:ascii="Verdana" w:hAnsi="Verdana"/>
          <w:b/>
          <w:sz w:val="20"/>
          <w:szCs w:val="20"/>
          <w:lang w:val="ru-RU"/>
        </w:rPr>
        <w:t>.</w:t>
      </w:r>
      <w:r>
        <w:rPr>
          <w:rFonts w:ascii="Verdana" w:hAnsi="Verdana"/>
          <w:sz w:val="20"/>
          <w:szCs w:val="20"/>
          <w:lang w:val="ru-RU"/>
        </w:rPr>
        <w:t xml:space="preserve"> </w:t>
      </w:r>
      <w:r>
        <w:rPr>
          <w:rFonts w:ascii="Verdana" w:hAnsi="Verdana"/>
          <w:sz w:val="20"/>
          <w:szCs w:val="20"/>
          <w:lang w:val="bg-BG"/>
        </w:rPr>
        <w:t xml:space="preserve">Създава се нов чл. 132а : </w:t>
      </w:r>
    </w:p>
    <w:p w14:paraId="3CC50820" w14:textId="77777777" w:rsidR="00213A17" w:rsidRDefault="00213A17" w:rsidP="00213A17">
      <w:pPr>
        <w:spacing w:line="360" w:lineRule="auto"/>
        <w:jc w:val="both"/>
        <w:rPr>
          <w:rFonts w:ascii="Verdana" w:hAnsi="Verdana"/>
          <w:sz w:val="20"/>
          <w:szCs w:val="20"/>
          <w:lang w:val="bg-BG"/>
        </w:rPr>
      </w:pPr>
    </w:p>
    <w:p w14:paraId="6DD592EE" w14:textId="77777777" w:rsidR="00213A17" w:rsidRDefault="00213A17" w:rsidP="00213A17">
      <w:pPr>
        <w:spacing w:line="360" w:lineRule="auto"/>
        <w:jc w:val="both"/>
      </w:pPr>
      <w:r>
        <w:rPr>
          <w:rFonts w:ascii="Verdana" w:hAnsi="Verdana"/>
          <w:sz w:val="20"/>
          <w:szCs w:val="20"/>
          <w:lang w:val="bg-BG"/>
        </w:rPr>
        <w:tab/>
        <w:t xml:space="preserve">„(1) При наличие на данни за извършено престъпление от общ характер от председателя на Върховния касационен съд, председателя на Върховния административен съд и главния прокурор, Съветът на прокуратурата определя на основата на случаен подбор независим прокурор с не по-малко от 25 години стаж като магистрат измежду прокурорите от  Върховна касационна прокуратура </w:t>
      </w:r>
      <w:r>
        <w:rPr>
          <w:rFonts w:ascii="Verdana" w:hAnsi="Verdana"/>
          <w:strike/>
          <w:sz w:val="20"/>
          <w:szCs w:val="20"/>
          <w:lang w:val="bg-BG"/>
        </w:rPr>
        <w:t>,</w:t>
      </w:r>
      <w:r>
        <w:rPr>
          <w:rFonts w:ascii="Verdana" w:hAnsi="Verdana"/>
          <w:sz w:val="20"/>
          <w:szCs w:val="20"/>
          <w:lang w:val="bg-BG"/>
        </w:rPr>
        <w:t xml:space="preserve"> </w:t>
      </w:r>
    </w:p>
    <w:p w14:paraId="3572B676" w14:textId="77777777" w:rsidR="00213A17" w:rsidRDefault="00213A17" w:rsidP="00213A17">
      <w:pPr>
        <w:spacing w:line="360" w:lineRule="auto"/>
        <w:jc w:val="both"/>
        <w:rPr>
          <w:rFonts w:ascii="Verdana" w:hAnsi="Verdana"/>
          <w:sz w:val="20"/>
          <w:szCs w:val="20"/>
          <w:lang w:val="bg-BG"/>
        </w:rPr>
      </w:pPr>
      <w:r>
        <w:rPr>
          <w:rFonts w:ascii="Verdana" w:hAnsi="Verdana"/>
          <w:sz w:val="20"/>
          <w:szCs w:val="20"/>
          <w:lang w:val="bg-BG"/>
        </w:rPr>
        <w:t xml:space="preserve">За независим прокурор може да бъде определен прокурор с най-високата комплексна оценка от последното атестиране, който през предходните пет години не е бил наказван за извършено дисциплинарно нарушение. </w:t>
      </w:r>
    </w:p>
    <w:p w14:paraId="0CCEAC67" w14:textId="77777777" w:rsidR="00213A17" w:rsidRDefault="00213A17" w:rsidP="00213A17">
      <w:pPr>
        <w:spacing w:line="360" w:lineRule="auto"/>
        <w:jc w:val="both"/>
        <w:rPr>
          <w:rFonts w:ascii="Verdana" w:hAnsi="Verdana"/>
          <w:sz w:val="20"/>
          <w:szCs w:val="20"/>
          <w:lang w:val="bg-BG"/>
        </w:rPr>
      </w:pPr>
    </w:p>
    <w:p w14:paraId="6FB8B598" w14:textId="77777777" w:rsidR="00213A17" w:rsidRDefault="00213A17" w:rsidP="00213A17">
      <w:pPr>
        <w:spacing w:line="360" w:lineRule="auto"/>
        <w:jc w:val="both"/>
        <w:rPr>
          <w:rFonts w:ascii="Verdana" w:hAnsi="Verdana"/>
          <w:sz w:val="20"/>
          <w:szCs w:val="20"/>
          <w:lang w:val="bg-BG"/>
        </w:rPr>
      </w:pPr>
      <w:r>
        <w:rPr>
          <w:rFonts w:ascii="Verdana" w:hAnsi="Verdana"/>
          <w:sz w:val="20"/>
          <w:szCs w:val="20"/>
          <w:lang w:val="bg-BG"/>
        </w:rPr>
        <w:tab/>
        <w:t xml:space="preserve">(2)  Независимият прокурор осъществява разследването и участва в съдебното производство, в случаите на повдигнато обвинение. </w:t>
      </w:r>
    </w:p>
    <w:p w14:paraId="1C1B81AE" w14:textId="77777777" w:rsidR="00213A17" w:rsidRDefault="00213A17" w:rsidP="00213A17">
      <w:pPr>
        <w:spacing w:line="360" w:lineRule="auto"/>
        <w:jc w:val="both"/>
        <w:rPr>
          <w:rFonts w:ascii="Verdana" w:hAnsi="Verdana"/>
          <w:sz w:val="20"/>
          <w:szCs w:val="20"/>
          <w:lang w:val="bg-BG"/>
        </w:rPr>
      </w:pPr>
    </w:p>
    <w:p w14:paraId="664AB49E" w14:textId="77777777" w:rsidR="00213A17" w:rsidRDefault="00213A17" w:rsidP="00213A17">
      <w:pPr>
        <w:spacing w:line="360" w:lineRule="auto"/>
        <w:jc w:val="both"/>
        <w:rPr>
          <w:rFonts w:ascii="Verdana" w:hAnsi="Verdana"/>
          <w:sz w:val="20"/>
          <w:szCs w:val="20"/>
          <w:lang w:val="bg-BG"/>
        </w:rPr>
      </w:pPr>
      <w:r>
        <w:rPr>
          <w:rFonts w:ascii="Verdana" w:hAnsi="Verdana"/>
          <w:sz w:val="20"/>
          <w:szCs w:val="20"/>
          <w:lang w:val="bg-BG"/>
        </w:rPr>
        <w:tab/>
        <w:t xml:space="preserve">(3) За времето, през което осъществява своите функции, независимият прокурор не подлежи на атестиране. По отношение на него не могат да бъдат образувани дисциплинарни производства, както и да се извършват проверки за почтеност и </w:t>
      </w:r>
      <w:r>
        <w:rPr>
          <w:rFonts w:ascii="Verdana" w:hAnsi="Verdana"/>
          <w:sz w:val="20"/>
          <w:szCs w:val="20"/>
          <w:lang w:val="bg-BG"/>
        </w:rPr>
        <w:lastRenderedPageBreak/>
        <w:t>конфликт на интереси, включително такива за установяване на нарушаване на независимостта на магистратите и обстоятелства по чл.129, ал.3, т.5.</w:t>
      </w:r>
    </w:p>
    <w:p w14:paraId="5B000B61" w14:textId="77777777" w:rsidR="00213A17" w:rsidRDefault="00213A17" w:rsidP="00213A17">
      <w:pPr>
        <w:spacing w:line="360" w:lineRule="auto"/>
        <w:jc w:val="both"/>
        <w:rPr>
          <w:rFonts w:ascii="Verdana" w:hAnsi="Verdana"/>
          <w:sz w:val="20"/>
          <w:szCs w:val="20"/>
          <w:lang w:val="bg-BG"/>
        </w:rPr>
      </w:pPr>
    </w:p>
    <w:p w14:paraId="2BC17D5A" w14:textId="77777777" w:rsidR="00213A17" w:rsidRDefault="00213A17" w:rsidP="00213A17">
      <w:pPr>
        <w:spacing w:line="360" w:lineRule="auto"/>
        <w:jc w:val="both"/>
        <w:rPr>
          <w:rFonts w:ascii="Verdana" w:hAnsi="Verdana"/>
          <w:sz w:val="20"/>
          <w:szCs w:val="20"/>
          <w:lang w:val="bg-BG"/>
        </w:rPr>
      </w:pPr>
      <w:r>
        <w:rPr>
          <w:rFonts w:ascii="Verdana" w:hAnsi="Verdana"/>
          <w:sz w:val="20"/>
          <w:szCs w:val="20"/>
          <w:lang w:val="bg-BG"/>
        </w:rPr>
        <w:tab/>
        <w:t>(4) В случай на постъпило искане до Съвета на съдиите в 14-дневен срок след приключване на наказателното производство независимият прокурор се назначава за съдия във Върховния касационен съд или Върховния административен съд.“</w:t>
      </w:r>
    </w:p>
    <w:p w14:paraId="38F2BBDD" w14:textId="77777777" w:rsidR="00213A17" w:rsidRDefault="00213A17" w:rsidP="00213A17">
      <w:pPr>
        <w:spacing w:line="360" w:lineRule="auto"/>
        <w:jc w:val="both"/>
        <w:rPr>
          <w:rFonts w:ascii="Verdana" w:hAnsi="Verdana"/>
          <w:sz w:val="20"/>
          <w:szCs w:val="20"/>
          <w:lang w:val="bg-BG"/>
        </w:rPr>
      </w:pPr>
    </w:p>
    <w:p w14:paraId="531DE2C7" w14:textId="251111A8" w:rsidR="00213A17" w:rsidRDefault="00213A17" w:rsidP="00213A17">
      <w:pPr>
        <w:spacing w:line="360" w:lineRule="auto"/>
        <w:jc w:val="both"/>
      </w:pPr>
      <w:r>
        <w:rPr>
          <w:rFonts w:ascii="Verdana" w:hAnsi="Verdana"/>
          <w:b/>
          <w:sz w:val="20"/>
          <w:szCs w:val="20"/>
          <w:lang w:val="ru-RU"/>
        </w:rPr>
        <w:t>§.1</w:t>
      </w:r>
      <w:r>
        <w:rPr>
          <w:rFonts w:ascii="Verdana" w:hAnsi="Verdana"/>
          <w:b/>
          <w:sz w:val="20"/>
          <w:szCs w:val="20"/>
          <w:lang w:val="en-US"/>
        </w:rPr>
        <w:t>2</w:t>
      </w:r>
      <w:r>
        <w:rPr>
          <w:rFonts w:ascii="Verdana" w:hAnsi="Verdana"/>
          <w:b/>
          <w:sz w:val="20"/>
          <w:szCs w:val="20"/>
          <w:lang w:val="ru-RU"/>
        </w:rPr>
        <w:t>.</w:t>
      </w:r>
      <w:r>
        <w:rPr>
          <w:rFonts w:ascii="Verdana" w:hAnsi="Verdana"/>
          <w:sz w:val="20"/>
          <w:szCs w:val="20"/>
          <w:lang w:val="ru-RU"/>
        </w:rPr>
        <w:t xml:space="preserve"> </w:t>
      </w:r>
      <w:r>
        <w:rPr>
          <w:rFonts w:ascii="Verdana" w:hAnsi="Verdana"/>
          <w:sz w:val="20"/>
          <w:szCs w:val="20"/>
          <w:lang w:val="bg-BG"/>
        </w:rPr>
        <w:t>В чл. 133 след думите „Висшия съдебен съвет“, се заменят с „Съвета на съдиите и Съвета на прокурорите“ и се поставя запетая.</w:t>
      </w:r>
    </w:p>
    <w:p w14:paraId="12699378" w14:textId="77777777" w:rsidR="00213A17" w:rsidRDefault="00213A17" w:rsidP="00213A17">
      <w:pPr>
        <w:spacing w:line="360" w:lineRule="auto"/>
        <w:jc w:val="both"/>
        <w:rPr>
          <w:rFonts w:ascii="Verdana" w:hAnsi="Verdana"/>
          <w:sz w:val="20"/>
          <w:szCs w:val="20"/>
          <w:lang w:val="bg-BG"/>
        </w:rPr>
      </w:pPr>
    </w:p>
    <w:p w14:paraId="774B146B" w14:textId="7CEA654E" w:rsidR="00213A17" w:rsidRDefault="00213A17" w:rsidP="00213A17">
      <w:pPr>
        <w:spacing w:line="360" w:lineRule="auto"/>
        <w:jc w:val="both"/>
      </w:pPr>
      <w:r>
        <w:rPr>
          <w:rFonts w:ascii="Verdana" w:hAnsi="Verdana"/>
          <w:b/>
          <w:sz w:val="20"/>
          <w:szCs w:val="20"/>
          <w:lang w:val="bg-BG"/>
        </w:rPr>
        <w:t>§.1</w:t>
      </w:r>
      <w:r>
        <w:rPr>
          <w:rFonts w:ascii="Verdana" w:hAnsi="Verdana"/>
          <w:b/>
          <w:sz w:val="20"/>
          <w:szCs w:val="20"/>
          <w:lang w:val="en-US"/>
        </w:rPr>
        <w:t>3</w:t>
      </w:r>
      <w:r>
        <w:rPr>
          <w:rFonts w:ascii="Verdana" w:hAnsi="Verdana"/>
          <w:b/>
          <w:sz w:val="20"/>
          <w:szCs w:val="20"/>
          <w:lang w:val="bg-BG"/>
        </w:rPr>
        <w:t>.</w:t>
      </w:r>
      <w:r>
        <w:rPr>
          <w:rFonts w:ascii="Verdana" w:hAnsi="Verdana"/>
          <w:sz w:val="20"/>
          <w:szCs w:val="20"/>
          <w:lang w:val="bg-BG"/>
        </w:rPr>
        <w:t xml:space="preserve"> В чл.150 се създават нови ал.5 и ал.6:</w:t>
      </w:r>
    </w:p>
    <w:p w14:paraId="165B450F" w14:textId="77777777" w:rsidR="00213A17" w:rsidRDefault="00213A17" w:rsidP="00213A17">
      <w:pPr>
        <w:spacing w:line="360" w:lineRule="auto"/>
        <w:jc w:val="both"/>
        <w:rPr>
          <w:rFonts w:ascii="Verdana" w:hAnsi="Verdana"/>
          <w:sz w:val="20"/>
          <w:szCs w:val="20"/>
          <w:lang w:val="bg-BG"/>
        </w:rPr>
      </w:pPr>
      <w:r>
        <w:rPr>
          <w:rFonts w:ascii="Verdana" w:hAnsi="Verdana"/>
          <w:sz w:val="20"/>
          <w:szCs w:val="20"/>
          <w:lang w:val="bg-BG"/>
        </w:rPr>
        <w:tab/>
        <w:t xml:space="preserve">„(5) Гражданите могат да отправят искане до Конституционния съд за установяване на </w:t>
      </w:r>
      <w:proofErr w:type="spellStart"/>
      <w:r>
        <w:rPr>
          <w:rFonts w:ascii="Verdana" w:hAnsi="Verdana"/>
          <w:sz w:val="20"/>
          <w:szCs w:val="20"/>
          <w:lang w:val="bg-BG"/>
        </w:rPr>
        <w:t>противоконституционност</w:t>
      </w:r>
      <w:proofErr w:type="spellEnd"/>
      <w:r>
        <w:rPr>
          <w:rFonts w:ascii="Verdana" w:hAnsi="Verdana"/>
          <w:sz w:val="20"/>
          <w:szCs w:val="20"/>
          <w:lang w:val="bg-BG"/>
        </w:rPr>
        <w:t xml:space="preserve"> на закон, нарушаващ техните основни права и свободи чрез Върховния касационен съд и Върховния административен съд, когато другите съдебни органи при разглеждане на правните спорове откажат да приложат пряко конституционните норми, или когато въпреки направено искане от заинтересованите лица не повдигнат пред върховните съдилища въпроса за </w:t>
      </w:r>
      <w:proofErr w:type="spellStart"/>
      <w:r>
        <w:rPr>
          <w:rFonts w:ascii="Verdana" w:hAnsi="Verdana"/>
          <w:sz w:val="20"/>
          <w:szCs w:val="20"/>
          <w:lang w:val="bg-BG"/>
        </w:rPr>
        <w:t>противоконституцонността</w:t>
      </w:r>
      <w:proofErr w:type="spellEnd"/>
      <w:r>
        <w:rPr>
          <w:rFonts w:ascii="Verdana" w:hAnsi="Verdana"/>
          <w:sz w:val="20"/>
          <w:szCs w:val="20"/>
          <w:lang w:val="bg-BG"/>
        </w:rPr>
        <w:t xml:space="preserve"> на приложимия закон. Върховният касационен съд и Върховният административен съд не могат да отклонят направеното искане за сезиране на Конституционния съд.</w:t>
      </w:r>
    </w:p>
    <w:p w14:paraId="46751169" w14:textId="77777777" w:rsidR="00213A17" w:rsidRDefault="00213A17" w:rsidP="00213A17">
      <w:pPr>
        <w:spacing w:line="360" w:lineRule="auto"/>
        <w:jc w:val="both"/>
        <w:rPr>
          <w:rFonts w:ascii="Verdana" w:hAnsi="Verdana"/>
          <w:sz w:val="20"/>
          <w:szCs w:val="20"/>
          <w:lang w:val="bg-BG"/>
        </w:rPr>
      </w:pPr>
      <w:r>
        <w:rPr>
          <w:rFonts w:ascii="Verdana" w:hAnsi="Verdana"/>
          <w:sz w:val="20"/>
          <w:szCs w:val="20"/>
          <w:lang w:val="bg-BG"/>
        </w:rPr>
        <w:tab/>
        <w:t>(6) Правото на гражданите да отправят конституционни жалби по предходната алинея се осъществява по ред, определен със закон.“</w:t>
      </w:r>
    </w:p>
    <w:p w14:paraId="1429D57E" w14:textId="77777777" w:rsidR="00213A17" w:rsidRDefault="00213A17" w:rsidP="00213A17">
      <w:pPr>
        <w:spacing w:line="360" w:lineRule="auto"/>
        <w:jc w:val="both"/>
        <w:rPr>
          <w:rFonts w:ascii="Verdana" w:hAnsi="Verdana"/>
          <w:sz w:val="20"/>
          <w:szCs w:val="20"/>
          <w:lang w:val="bg-BG"/>
        </w:rPr>
      </w:pPr>
    </w:p>
    <w:p w14:paraId="4B86DBBA" w14:textId="77777777" w:rsidR="00213A17" w:rsidRDefault="00213A17" w:rsidP="00213A17">
      <w:pPr>
        <w:spacing w:line="360" w:lineRule="auto"/>
        <w:jc w:val="both"/>
        <w:rPr>
          <w:rFonts w:ascii="Verdana" w:hAnsi="Verdana"/>
          <w:sz w:val="20"/>
          <w:szCs w:val="20"/>
          <w:lang w:val="bg-BG"/>
        </w:rPr>
      </w:pPr>
      <w:r>
        <w:rPr>
          <w:rFonts w:ascii="Verdana" w:hAnsi="Verdana"/>
          <w:sz w:val="20"/>
          <w:szCs w:val="20"/>
          <w:lang w:val="bg-BG"/>
        </w:rPr>
        <w:tab/>
      </w:r>
    </w:p>
    <w:p w14:paraId="0FA84C9C" w14:textId="77777777" w:rsidR="00213A17" w:rsidRDefault="00213A17" w:rsidP="00213A17">
      <w:pPr>
        <w:spacing w:line="360" w:lineRule="auto"/>
        <w:jc w:val="center"/>
        <w:rPr>
          <w:rFonts w:ascii="Verdana" w:hAnsi="Verdana"/>
          <w:b/>
          <w:sz w:val="20"/>
          <w:szCs w:val="20"/>
          <w:lang w:val="bg-BG"/>
        </w:rPr>
      </w:pPr>
      <w:r>
        <w:rPr>
          <w:rFonts w:ascii="Verdana" w:hAnsi="Verdana"/>
          <w:b/>
          <w:sz w:val="20"/>
          <w:szCs w:val="20"/>
          <w:lang w:val="bg-BG"/>
        </w:rPr>
        <w:t>Преходна разпоредба</w:t>
      </w:r>
    </w:p>
    <w:p w14:paraId="468FAE93" w14:textId="77777777" w:rsidR="00213A17" w:rsidRDefault="00213A17" w:rsidP="00213A17">
      <w:pPr>
        <w:spacing w:line="360" w:lineRule="auto"/>
        <w:jc w:val="both"/>
        <w:rPr>
          <w:rFonts w:ascii="Verdana" w:hAnsi="Verdana"/>
          <w:sz w:val="20"/>
          <w:szCs w:val="20"/>
          <w:lang w:val="bg-BG"/>
        </w:rPr>
      </w:pPr>
    </w:p>
    <w:p w14:paraId="11291632" w14:textId="185B0250" w:rsidR="00213A17" w:rsidRDefault="00213A17" w:rsidP="00213A17">
      <w:r>
        <w:rPr>
          <w:rFonts w:ascii="Verdana" w:hAnsi="Verdana"/>
          <w:b/>
          <w:sz w:val="20"/>
          <w:szCs w:val="20"/>
          <w:lang w:val="bg-BG"/>
        </w:rPr>
        <w:t>§.1</w:t>
      </w:r>
      <w:r>
        <w:rPr>
          <w:rFonts w:ascii="Verdana" w:hAnsi="Verdana"/>
          <w:b/>
          <w:sz w:val="20"/>
          <w:szCs w:val="20"/>
          <w:lang w:val="en-US"/>
        </w:rPr>
        <w:t>4</w:t>
      </w:r>
      <w:r>
        <w:rPr>
          <w:rFonts w:ascii="Verdana" w:hAnsi="Verdana"/>
          <w:b/>
          <w:sz w:val="20"/>
          <w:szCs w:val="20"/>
          <w:lang w:val="bg-BG"/>
        </w:rPr>
        <w:t xml:space="preserve">. </w:t>
      </w:r>
      <w:r>
        <w:rPr>
          <w:rFonts w:ascii="Verdana" w:hAnsi="Verdana"/>
          <w:sz w:val="20"/>
          <w:szCs w:val="20"/>
          <w:lang w:val="bg-BG"/>
        </w:rPr>
        <w:t>Избраните членове на съдийската и на прокурорската колегии на Висшия съдебен съвет към датата на влиза</w:t>
      </w:r>
    </w:p>
    <w:p w14:paraId="70453901" w14:textId="77777777" w:rsidR="00213A17" w:rsidRDefault="00213A17" w:rsidP="00213A17"/>
    <w:p w14:paraId="239DBDD4" w14:textId="77777777" w:rsidR="00F3672C" w:rsidRDefault="00F3672C"/>
    <w:sectPr w:rsidR="00F36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F6E"/>
    <w:multiLevelType w:val="multilevel"/>
    <w:tmpl w:val="3F4253B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1A421C61"/>
    <w:multiLevelType w:val="multilevel"/>
    <w:tmpl w:val="E9C23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D86BD5"/>
    <w:multiLevelType w:val="multilevel"/>
    <w:tmpl w:val="44A0096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60DA654B"/>
    <w:multiLevelType w:val="multilevel"/>
    <w:tmpl w:val="8FF677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0216800"/>
    <w:multiLevelType w:val="multilevel"/>
    <w:tmpl w:val="2F94A652"/>
    <w:lvl w:ilvl="0">
      <w:start w:val="1"/>
      <w:numFmt w:val="decimal"/>
      <w:lvlText w:val="%1."/>
      <w:lvlJc w:val="left"/>
      <w:pPr>
        <w:ind w:left="430" w:hanging="360"/>
      </w:p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5" w15:restartNumberingAfterBreak="0">
    <w:nsid w:val="7FF541C3"/>
    <w:multiLevelType w:val="multilevel"/>
    <w:tmpl w:val="1224577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469274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38923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5458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2230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125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67714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99262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29420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3632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8651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5913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17"/>
    <w:rsid w:val="00196DA4"/>
    <w:rsid w:val="00213A17"/>
    <w:rsid w:val="00F3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B6C5"/>
  <w15:chartTrackingRefBased/>
  <w15:docId w15:val="{DF005512-2F17-48A1-BE92-E78F2A1A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A17"/>
    <w:pPr>
      <w:suppressAutoHyphens/>
      <w:autoSpaceDN w:val="0"/>
      <w:spacing w:after="0" w:line="240" w:lineRule="auto"/>
    </w:pPr>
    <w:rPr>
      <w:rFonts w:ascii="Calibri" w:eastAsia="Calibri" w:hAnsi="Calibri" w:cs="Times New Roman"/>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13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9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1310</Words>
  <Characters>7469</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Hamid</dc:creator>
  <cp:keywords/>
  <dc:description/>
  <cp:lastModifiedBy>Hamid Hamid</cp:lastModifiedBy>
  <cp:revision>2</cp:revision>
  <dcterms:created xsi:type="dcterms:W3CDTF">2023-05-23T13:41:00Z</dcterms:created>
  <dcterms:modified xsi:type="dcterms:W3CDTF">2023-05-23T13:41:00Z</dcterms:modified>
</cp:coreProperties>
</file>